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47F" w:rsidRDefault="004C747F" w:rsidP="004C747F">
      <w:pPr>
        <w:pStyle w:val="Title"/>
      </w:pPr>
      <w:bookmarkStart w:id="0" w:name="OLE_LINK1"/>
      <w:bookmarkStart w:id="1" w:name="OLE_LINK2"/>
    </w:p>
    <w:p w:rsidR="004C747F" w:rsidRDefault="004C747F" w:rsidP="004C747F">
      <w:pPr>
        <w:pStyle w:val="Title"/>
      </w:pPr>
    </w:p>
    <w:p w:rsidR="004C747F" w:rsidRDefault="004C747F" w:rsidP="004C747F">
      <w:pPr>
        <w:pStyle w:val="Title"/>
      </w:pPr>
    </w:p>
    <w:p w:rsidR="004C747F" w:rsidRDefault="004C747F" w:rsidP="004C747F">
      <w:pPr>
        <w:pStyle w:val="Title"/>
      </w:pPr>
    </w:p>
    <w:p w:rsidR="004C747F" w:rsidRDefault="004C747F" w:rsidP="004C747F">
      <w:pPr>
        <w:pStyle w:val="Title"/>
      </w:pPr>
    </w:p>
    <w:p w:rsidR="004C747F" w:rsidRDefault="004C747F" w:rsidP="004C747F">
      <w:pPr>
        <w:pStyle w:val="Title"/>
      </w:pPr>
    </w:p>
    <w:p w:rsidR="004C747F" w:rsidRDefault="004C747F" w:rsidP="004C747F">
      <w:pPr>
        <w:pStyle w:val="Title"/>
      </w:pPr>
    </w:p>
    <w:p w:rsidR="004C747F" w:rsidRDefault="004C747F" w:rsidP="004C747F">
      <w:pPr>
        <w:pStyle w:val="Title"/>
      </w:pPr>
      <w:r>
        <w:t>The Potential of Carsharing in the Greater Tel Aviv Area</w:t>
      </w:r>
      <w:bookmarkStart w:id="2" w:name="_GoBack"/>
      <w:bookmarkEnd w:id="2"/>
    </w:p>
    <w:bookmarkEnd w:id="0"/>
    <w:bookmarkEnd w:id="1"/>
    <w:p w:rsidR="004C747F" w:rsidRDefault="000D542D" w:rsidP="00AF724A">
      <w:pPr>
        <w:pStyle w:val="Caption"/>
        <w:spacing w:line="240" w:lineRule="auto"/>
      </w:pPr>
      <w:proofErr w:type="spellStart"/>
      <w:r>
        <w:t>Itamar</w:t>
      </w:r>
      <w:proofErr w:type="spellEnd"/>
      <w:r>
        <w:t xml:space="preserve"> </w:t>
      </w:r>
      <w:proofErr w:type="spellStart"/>
      <w:r>
        <w:t>Orlandi</w:t>
      </w:r>
      <w:proofErr w:type="spellEnd"/>
    </w:p>
    <w:p w:rsidR="00AF724A" w:rsidRPr="00AF724A" w:rsidRDefault="00AF724A" w:rsidP="00AF724A">
      <w:pPr>
        <w:rPr>
          <w:rStyle w:val="apple-style-span"/>
          <w:rFonts w:ascii="Arial" w:hAnsi="Arial" w:cs="Arial" w:hint="cs"/>
          <w:color w:val="333333"/>
          <w:sz w:val="20"/>
          <w:szCs w:val="20"/>
          <w:rtl/>
        </w:rPr>
      </w:pPr>
      <w:r w:rsidRPr="00AF724A">
        <w:rPr>
          <w:rStyle w:val="apple-style-span"/>
          <w:rFonts w:ascii="Arial" w:hAnsi="Arial" w:cs="Arial"/>
          <w:color w:val="333333"/>
          <w:sz w:val="20"/>
          <w:szCs w:val="20"/>
        </w:rPr>
        <w:t>itamarorlandi@gmail.com</w:t>
      </w:r>
      <w:r w:rsidRPr="00AF724A">
        <w:rPr>
          <w:rStyle w:val="apple-style-span"/>
          <w:rFonts w:ascii="Arial" w:hAnsi="Arial" w:cs="Arial"/>
          <w:color w:val="333333"/>
          <w:sz w:val="20"/>
          <w:szCs w:val="20"/>
        </w:rPr>
        <w:t xml:space="preserve"> </w:t>
      </w:r>
    </w:p>
    <w:p w:rsidR="00AF724A" w:rsidRDefault="00AF724A" w:rsidP="000D542D">
      <w:pPr>
        <w:pStyle w:val="Caption"/>
      </w:pPr>
    </w:p>
    <w:p w:rsidR="004C747F" w:rsidRDefault="004C747F" w:rsidP="004C747F"/>
    <w:p w:rsidR="004C747F" w:rsidRDefault="004C747F">
      <w:pPr>
        <w:widowControl/>
        <w:suppressAutoHyphens w:val="0"/>
        <w:spacing w:line="240" w:lineRule="auto"/>
        <w:jc w:val="left"/>
      </w:pPr>
    </w:p>
    <w:p w:rsidR="004325A7" w:rsidRDefault="004325A7">
      <w:pPr>
        <w:widowControl/>
        <w:suppressAutoHyphens w:val="0"/>
        <w:spacing w:line="240" w:lineRule="auto"/>
        <w:jc w:val="left"/>
      </w:pPr>
    </w:p>
    <w:p w:rsidR="004325A7" w:rsidRDefault="004325A7">
      <w:pPr>
        <w:widowControl/>
        <w:suppressAutoHyphens w:val="0"/>
        <w:spacing w:line="240" w:lineRule="auto"/>
        <w:jc w:val="left"/>
      </w:pPr>
    </w:p>
    <w:p w:rsidR="004325A7" w:rsidRDefault="004325A7">
      <w:pPr>
        <w:widowControl/>
        <w:suppressAutoHyphens w:val="0"/>
        <w:spacing w:line="240" w:lineRule="auto"/>
        <w:jc w:val="left"/>
      </w:pPr>
    </w:p>
    <w:p w:rsidR="004325A7" w:rsidRDefault="004325A7">
      <w:pPr>
        <w:widowControl/>
        <w:suppressAutoHyphens w:val="0"/>
        <w:spacing w:line="240" w:lineRule="auto"/>
        <w:jc w:val="left"/>
      </w:pPr>
    </w:p>
    <w:p w:rsidR="004C747F" w:rsidRDefault="004C747F">
      <w:pPr>
        <w:widowControl/>
        <w:suppressAutoHyphens w:val="0"/>
        <w:spacing w:line="240" w:lineRule="auto"/>
        <w:jc w:val="left"/>
      </w:pPr>
    </w:p>
    <w:p w:rsidR="004C747F" w:rsidRDefault="004C747F">
      <w:pPr>
        <w:widowControl/>
        <w:suppressAutoHyphens w:val="0"/>
        <w:spacing w:line="240" w:lineRule="auto"/>
        <w:jc w:val="left"/>
      </w:pPr>
    </w:p>
    <w:p w:rsidR="004C747F" w:rsidRPr="004C747F" w:rsidRDefault="004C747F" w:rsidP="004C747F">
      <w:pPr>
        <w:pStyle w:val="Caption"/>
        <w:rPr>
          <w:sz w:val="22"/>
          <w:szCs w:val="22"/>
        </w:rPr>
      </w:pPr>
      <w:proofErr w:type="spellStart"/>
      <w:r>
        <w:rPr>
          <w:rStyle w:val="apple-style-span"/>
          <w:rFonts w:ascii="Arial" w:hAnsi="Arial" w:cs="Arial"/>
          <w:color w:val="333333"/>
          <w:sz w:val="22"/>
          <w:szCs w:val="22"/>
        </w:rPr>
        <w:t>Itamar</w:t>
      </w:r>
      <w:proofErr w:type="spellEnd"/>
      <w:r>
        <w:rPr>
          <w:rStyle w:val="apple-style-span"/>
          <w:rFonts w:ascii="Arial" w:hAnsi="Arial" w:cs="Arial"/>
          <w:color w:val="333333"/>
          <w:sz w:val="22"/>
          <w:szCs w:val="22"/>
        </w:rPr>
        <w:t xml:space="preserve"> </w:t>
      </w:r>
      <w:proofErr w:type="spellStart"/>
      <w:r>
        <w:rPr>
          <w:rStyle w:val="apple-style-span"/>
          <w:rFonts w:ascii="Arial" w:hAnsi="Arial" w:cs="Arial"/>
          <w:color w:val="333333"/>
          <w:sz w:val="22"/>
          <w:szCs w:val="22"/>
        </w:rPr>
        <w:t>Orlandi</w:t>
      </w:r>
      <w:proofErr w:type="spellEnd"/>
      <w:r w:rsidRPr="004C747F">
        <w:rPr>
          <w:rStyle w:val="apple-style-span"/>
          <w:rFonts w:ascii="Arial" w:hAnsi="Arial" w:cs="Arial"/>
          <w:color w:val="333333"/>
          <w:sz w:val="22"/>
          <w:szCs w:val="22"/>
        </w:rPr>
        <w:t xml:space="preserve"> holds a bachelor’s degree in economics from the University </w:t>
      </w:r>
      <w:proofErr w:type="gramStart"/>
      <w:r w:rsidRPr="004C747F">
        <w:rPr>
          <w:rStyle w:val="apple-style-span"/>
          <w:rFonts w:ascii="Arial" w:hAnsi="Arial" w:cs="Arial"/>
          <w:color w:val="333333"/>
          <w:sz w:val="22"/>
          <w:szCs w:val="22"/>
        </w:rPr>
        <w:t>of</w:t>
      </w:r>
      <w:proofErr w:type="gramEnd"/>
      <w:r w:rsidRPr="004C747F">
        <w:rPr>
          <w:rStyle w:val="apple-style-span"/>
          <w:rFonts w:ascii="Arial" w:hAnsi="Arial" w:cs="Arial"/>
          <w:color w:val="333333"/>
          <w:sz w:val="22"/>
          <w:szCs w:val="22"/>
        </w:rPr>
        <w:t xml:space="preserve"> Haifa, Israel and currently works for Transport Today and Tomorrow, which promotes sustainable transport in Israel.</w:t>
      </w:r>
    </w:p>
    <w:p w:rsidR="004C747F" w:rsidRDefault="004C747F" w:rsidP="004C747F">
      <w:pPr>
        <w:pStyle w:val="Caption"/>
        <w:rPr>
          <w:rStyle w:val="apple-style-span"/>
          <w:rFonts w:ascii="Arial" w:hAnsi="Arial" w:cs="Arial"/>
          <w:color w:val="333333"/>
          <w:sz w:val="22"/>
          <w:szCs w:val="22"/>
        </w:rPr>
      </w:pPr>
      <w:r w:rsidRPr="004C747F">
        <w:rPr>
          <w:rStyle w:val="apple-style-span"/>
          <w:rFonts w:ascii="Arial" w:hAnsi="Arial" w:cs="Arial"/>
          <w:color w:val="333333"/>
          <w:sz w:val="22"/>
          <w:szCs w:val="22"/>
        </w:rPr>
        <w:t xml:space="preserve">This paper was written for the course </w:t>
      </w:r>
      <w:r w:rsidR="000D542D">
        <w:rPr>
          <w:rStyle w:val="apple-style-span"/>
          <w:rFonts w:ascii="Arial" w:hAnsi="Arial" w:cs="Arial"/>
          <w:color w:val="333333"/>
          <w:sz w:val="22"/>
          <w:szCs w:val="22"/>
        </w:rPr>
        <w:t>"</w:t>
      </w:r>
      <w:r w:rsidRPr="000D542D">
        <w:rPr>
          <w:rStyle w:val="apple-style-span"/>
          <w:rFonts w:ascii="Arial" w:hAnsi="Arial" w:cs="Arial"/>
          <w:i w:val="0"/>
          <w:iCs w:val="0"/>
          <w:color w:val="333333"/>
          <w:sz w:val="22"/>
          <w:szCs w:val="22"/>
        </w:rPr>
        <w:t>Environmental Economics</w:t>
      </w:r>
      <w:r w:rsidR="000D542D">
        <w:rPr>
          <w:rStyle w:val="apple-style-span"/>
          <w:rFonts w:ascii="Arial" w:hAnsi="Arial" w:cs="Arial"/>
          <w:color w:val="333333"/>
          <w:sz w:val="22"/>
          <w:szCs w:val="22"/>
        </w:rPr>
        <w:t>"</w:t>
      </w:r>
      <w:r w:rsidRPr="004C747F">
        <w:rPr>
          <w:rStyle w:val="apple-style-span"/>
          <w:rFonts w:ascii="Arial" w:hAnsi="Arial" w:cs="Arial"/>
          <w:color w:val="333333"/>
          <w:sz w:val="22"/>
          <w:szCs w:val="22"/>
        </w:rPr>
        <w:t xml:space="preserve"> at the Department of Economics, University of Haifa under the supervi</w:t>
      </w:r>
      <w:r w:rsidR="004325A7">
        <w:rPr>
          <w:rStyle w:val="apple-style-span"/>
          <w:rFonts w:ascii="Arial" w:hAnsi="Arial" w:cs="Arial"/>
          <w:color w:val="333333"/>
          <w:sz w:val="22"/>
          <w:szCs w:val="22"/>
        </w:rPr>
        <w:t xml:space="preserve">sion of Prof. Mordecai </w:t>
      </w:r>
      <w:proofErr w:type="spellStart"/>
      <w:r w:rsidR="004325A7">
        <w:rPr>
          <w:rStyle w:val="apple-style-span"/>
          <w:rFonts w:ascii="Arial" w:hAnsi="Arial" w:cs="Arial"/>
          <w:color w:val="333333"/>
          <w:sz w:val="22"/>
          <w:szCs w:val="22"/>
        </w:rPr>
        <w:t>Shechter</w:t>
      </w:r>
      <w:proofErr w:type="spellEnd"/>
      <w:r w:rsidR="004325A7">
        <w:rPr>
          <w:rStyle w:val="apple-style-span"/>
          <w:rFonts w:ascii="Arial" w:hAnsi="Arial" w:cs="Arial"/>
          <w:color w:val="333333"/>
          <w:sz w:val="22"/>
          <w:szCs w:val="22"/>
        </w:rPr>
        <w:t xml:space="preserve"> in June 2010.</w:t>
      </w:r>
    </w:p>
    <w:p w:rsidR="000D542D" w:rsidRDefault="000D542D" w:rsidP="00E50CEE">
      <w:pPr>
        <w:widowControl/>
        <w:suppressAutoHyphens w:val="0"/>
        <w:spacing w:line="240" w:lineRule="auto"/>
        <w:jc w:val="right"/>
      </w:pPr>
    </w:p>
    <w:p w:rsidR="000D542D" w:rsidRDefault="000D542D" w:rsidP="00E50CEE">
      <w:pPr>
        <w:widowControl/>
        <w:suppressAutoHyphens w:val="0"/>
        <w:spacing w:line="240" w:lineRule="auto"/>
        <w:jc w:val="right"/>
      </w:pPr>
      <w:r>
        <w:object w:dxaOrig="8401" w:dyaOrig="2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pt;height:51.2pt" o:ole="">
            <v:imagedata r:id="rId9" o:title=""/>
          </v:shape>
          <o:OLEObject Type="Embed" ProgID="MSPhotoEd.3" ShapeID="_x0000_i1025" DrawAspect="Content" ObjectID="_1343999961" r:id="rId10"/>
        </w:object>
      </w:r>
    </w:p>
    <w:p w:rsidR="000D542D" w:rsidRDefault="000D542D" w:rsidP="000D542D">
      <w:pPr>
        <w:widowControl/>
        <w:suppressAutoHyphens w:val="0"/>
        <w:spacing w:line="240" w:lineRule="auto"/>
        <w:jc w:val="right"/>
        <w:rPr>
          <w:rStyle w:val="apple-style-span"/>
          <w:rFonts w:ascii="Arial" w:hAnsi="Arial" w:cs="Arial"/>
          <w:color w:val="808080"/>
          <w:sz w:val="15"/>
          <w:szCs w:val="15"/>
        </w:rPr>
      </w:pPr>
      <w:r>
        <w:rPr>
          <w:rStyle w:val="apple-style-span"/>
          <w:rFonts w:ascii="Arial" w:hAnsi="Arial" w:cs="Arial"/>
          <w:color w:val="808080"/>
          <w:sz w:val="15"/>
          <w:szCs w:val="15"/>
        </w:rPr>
        <w:t xml:space="preserve">Transport Today &amp; Tomorrow - The Israeli Organization for </w:t>
      </w:r>
    </w:p>
    <w:p w:rsidR="000D542D" w:rsidRDefault="000D542D" w:rsidP="000D542D">
      <w:pPr>
        <w:widowControl/>
        <w:suppressAutoHyphens w:val="0"/>
        <w:spacing w:line="240" w:lineRule="auto"/>
        <w:jc w:val="right"/>
      </w:pPr>
      <w:r>
        <w:rPr>
          <w:rStyle w:val="apple-style-span"/>
          <w:rFonts w:ascii="Arial" w:hAnsi="Arial" w:cs="Arial"/>
          <w:color w:val="808080"/>
          <w:sz w:val="15"/>
          <w:szCs w:val="15"/>
        </w:rPr>
        <w:t xml:space="preserve">Sustainable Transportation, 85 </w:t>
      </w:r>
      <w:proofErr w:type="spellStart"/>
      <w:r>
        <w:rPr>
          <w:rStyle w:val="apple-style-span"/>
          <w:rFonts w:ascii="Arial" w:hAnsi="Arial" w:cs="Arial"/>
          <w:color w:val="808080"/>
          <w:sz w:val="15"/>
          <w:szCs w:val="15"/>
        </w:rPr>
        <w:t>Nahalat</w:t>
      </w:r>
      <w:proofErr w:type="spellEnd"/>
      <w:r>
        <w:rPr>
          <w:rStyle w:val="apple-style-span"/>
          <w:rFonts w:ascii="Arial" w:hAnsi="Arial" w:cs="Arial"/>
          <w:color w:val="808080"/>
          <w:sz w:val="15"/>
          <w:szCs w:val="15"/>
        </w:rPr>
        <w:t xml:space="preserve"> Benjamin, Tel-Aviv 6610</w:t>
      </w:r>
      <w:r w:rsidRPr="000D542D">
        <w:rPr>
          <w:rStyle w:val="apple-style-span"/>
          <w:rFonts w:ascii="Arial" w:hAnsi="Arial" w:cs="Arial"/>
          <w:color w:val="808080"/>
          <w:sz w:val="15"/>
          <w:szCs w:val="15"/>
        </w:rPr>
        <w:t>2</w:t>
      </w:r>
    </w:p>
    <w:p w:rsidR="004C747F" w:rsidRPr="000D542D" w:rsidRDefault="000D542D" w:rsidP="000D542D">
      <w:pPr>
        <w:widowControl/>
        <w:suppressAutoHyphens w:val="0"/>
        <w:spacing w:line="240" w:lineRule="auto"/>
        <w:jc w:val="right"/>
        <w:rPr>
          <w:rFonts w:ascii="Arial" w:hAnsi="Arial" w:cs="Arial"/>
          <w:color w:val="808080"/>
          <w:sz w:val="15"/>
          <w:szCs w:val="15"/>
        </w:rPr>
      </w:pPr>
      <w:r w:rsidRPr="000D542D">
        <w:rPr>
          <w:rStyle w:val="apple-style-span"/>
          <w:rFonts w:ascii="Arial" w:hAnsi="Arial" w:cs="Arial"/>
          <w:color w:val="808080"/>
          <w:sz w:val="15"/>
          <w:szCs w:val="15"/>
        </w:rPr>
        <w:t>www.transportation.org.il</w:t>
      </w:r>
      <w:r w:rsidR="004C747F">
        <w:br w:type="page"/>
      </w:r>
    </w:p>
    <w:p w:rsidR="00475FB9" w:rsidRDefault="00475FB9" w:rsidP="00475FB9">
      <w:pPr>
        <w:pStyle w:val="Heading1"/>
        <w:spacing w:before="120"/>
        <w:jc w:val="center"/>
      </w:pPr>
      <w:r>
        <w:lastRenderedPageBreak/>
        <w:t>Summary</w:t>
      </w:r>
    </w:p>
    <w:p w:rsidR="00475FB9" w:rsidRPr="007710ED" w:rsidRDefault="00475FB9" w:rsidP="00475FB9">
      <w:pPr>
        <w:rPr>
          <w:b/>
          <w:bCs/>
        </w:rPr>
      </w:pPr>
      <w:r w:rsidRPr="007710ED">
        <w:rPr>
          <w:b/>
          <w:bCs/>
        </w:rPr>
        <w:t>Why?</w:t>
      </w:r>
    </w:p>
    <w:p w:rsidR="00475FB9" w:rsidRPr="008C0FF8" w:rsidRDefault="00475FB9" w:rsidP="00475FB9">
      <w:pPr>
        <w:widowControl/>
        <w:suppressAutoHyphens w:val="0"/>
        <w:spacing w:after="200" w:line="276" w:lineRule="auto"/>
        <w:rPr>
          <w:rFonts w:asciiTheme="minorHAnsi" w:eastAsiaTheme="minorHAnsi" w:hAnsiTheme="minorHAnsi"/>
          <w:kern w:val="0"/>
          <w:lang w:eastAsia="en-US"/>
        </w:rPr>
      </w:pPr>
      <w:r w:rsidRPr="008C0FF8">
        <w:rPr>
          <w:rFonts w:asciiTheme="minorHAnsi" w:eastAsiaTheme="minorHAnsi" w:hAnsiTheme="minorHAnsi"/>
          <w:kern w:val="0"/>
          <w:lang w:eastAsia="en-US"/>
        </w:rPr>
        <w:t>Carsharing is desirable from an environmental point of view, mainly because users of carsharing services tend to reduce their miles travelled in cars. Theoretically, this can be explained by the high marginal costs for a</w:t>
      </w:r>
      <w:r>
        <w:rPr>
          <w:rFonts w:asciiTheme="minorHAnsi" w:eastAsiaTheme="minorHAnsi" w:hAnsiTheme="minorHAnsi"/>
          <w:kern w:val="0"/>
          <w:lang w:eastAsia="en-US"/>
        </w:rPr>
        <w:t>n</w:t>
      </w:r>
      <w:r w:rsidRPr="008C0FF8">
        <w:rPr>
          <w:rFonts w:asciiTheme="minorHAnsi" w:eastAsiaTheme="minorHAnsi" w:hAnsiTheme="minorHAnsi"/>
          <w:kern w:val="0"/>
          <w:lang w:eastAsia="en-US"/>
        </w:rPr>
        <w:t xml:space="preserve"> additional kilometer as compared to car ownership. Numerous studies confirmed this effect.</w:t>
      </w:r>
    </w:p>
    <w:p w:rsidR="00475FB9" w:rsidRPr="007710ED" w:rsidRDefault="00475FB9" w:rsidP="00475FB9">
      <w:pPr>
        <w:rPr>
          <w:b/>
          <w:bCs/>
        </w:rPr>
      </w:pPr>
      <w:r w:rsidRPr="007710ED">
        <w:rPr>
          <w:b/>
          <w:bCs/>
        </w:rPr>
        <w:t>What?</w:t>
      </w:r>
    </w:p>
    <w:p w:rsidR="00475FB9" w:rsidRPr="008C0FF8" w:rsidRDefault="00475FB9" w:rsidP="00475FB9">
      <w:pPr>
        <w:widowControl/>
        <w:suppressAutoHyphens w:val="0"/>
        <w:spacing w:after="200" w:line="276" w:lineRule="auto"/>
        <w:rPr>
          <w:rFonts w:asciiTheme="minorHAnsi" w:eastAsiaTheme="minorHAnsi" w:hAnsiTheme="minorHAnsi"/>
          <w:kern w:val="0"/>
          <w:lang w:eastAsia="en-US"/>
        </w:rPr>
      </w:pPr>
      <w:r w:rsidRPr="008C0FF8">
        <w:rPr>
          <w:rFonts w:asciiTheme="minorHAnsi" w:eastAsiaTheme="minorHAnsi" w:hAnsiTheme="minorHAnsi"/>
          <w:kern w:val="0"/>
          <w:lang w:eastAsia="en-US"/>
        </w:rPr>
        <w:t>This study aimed to find the percentage of private cars in the greater Tel Aviv area for which carsharing at the current Car2Go pricing is cheaper than vehicle ownership. The methodology of a Monte-Carlo simulation was used in order to create a large sample of different vehicle journeys and cost structures. Yearly ownership and carsharing costs for 200,000 vehicles were simulated. The vehicles' journeys were based on the American National Household Transport Survey (NHTS), since no Israeli data was available. All costs were based on Israeli data and assumptions.</w:t>
      </w:r>
    </w:p>
    <w:p w:rsidR="00475FB9" w:rsidRPr="007710ED" w:rsidRDefault="00475FB9" w:rsidP="00475FB9">
      <w:pPr>
        <w:rPr>
          <w:b/>
          <w:bCs/>
        </w:rPr>
      </w:pPr>
      <w:r w:rsidRPr="007710ED">
        <w:rPr>
          <w:b/>
          <w:bCs/>
        </w:rPr>
        <w:t>Comparison of International Carsharing Costs</w:t>
      </w:r>
    </w:p>
    <w:p w:rsidR="00475FB9" w:rsidRPr="008C0FF8" w:rsidRDefault="00475FB9" w:rsidP="00475FB9">
      <w:pPr>
        <w:widowControl/>
        <w:suppressAutoHyphens w:val="0"/>
        <w:spacing w:after="200" w:line="276" w:lineRule="auto"/>
        <w:rPr>
          <w:rFonts w:asciiTheme="minorHAnsi" w:eastAsiaTheme="minorHAnsi" w:hAnsiTheme="minorHAnsi"/>
          <w:kern w:val="0"/>
          <w:lang w:eastAsia="en-US"/>
        </w:rPr>
      </w:pPr>
      <w:r>
        <w:rPr>
          <w:rFonts w:asciiTheme="minorHAnsi" w:eastAsiaTheme="minorHAnsi" w:hAnsiTheme="minorHAnsi"/>
          <w:noProof/>
          <w:kern w:val="0"/>
          <w:lang w:eastAsia="en-US"/>
        </w:rPr>
        <w:drawing>
          <wp:anchor distT="0" distB="0" distL="114300" distR="114300" simplePos="0" relativeHeight="251659264" behindDoc="0" locked="0" layoutInCell="1" allowOverlap="1" wp14:anchorId="32A66493" wp14:editId="346D1C4B">
            <wp:simplePos x="0" y="0"/>
            <wp:positionH relativeFrom="column">
              <wp:posOffset>3272790</wp:posOffset>
            </wp:positionH>
            <wp:positionV relativeFrom="paragraph">
              <wp:posOffset>1014095</wp:posOffset>
            </wp:positionV>
            <wp:extent cx="2956560" cy="2377440"/>
            <wp:effectExtent l="0" t="0" r="0" b="0"/>
            <wp:wrapSquare wrapText="bothSides"/>
            <wp:docPr id="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Theme="minorHAnsi" w:eastAsiaTheme="minorHAnsi" w:hAnsiTheme="minorHAnsi"/>
          <w:noProof/>
          <w:kern w:val="0"/>
          <w:lang w:eastAsia="en-US"/>
        </w:rPr>
        <w:drawing>
          <wp:anchor distT="0" distB="0" distL="114300" distR="114300" simplePos="0" relativeHeight="251660288" behindDoc="1" locked="0" layoutInCell="1" allowOverlap="1" wp14:anchorId="58E32842" wp14:editId="1D8C62F7">
            <wp:simplePos x="0" y="0"/>
            <wp:positionH relativeFrom="column">
              <wp:posOffset>182880</wp:posOffset>
            </wp:positionH>
            <wp:positionV relativeFrom="paragraph">
              <wp:posOffset>1015365</wp:posOffset>
            </wp:positionV>
            <wp:extent cx="2957195" cy="2223770"/>
            <wp:effectExtent l="0" t="0" r="0" b="0"/>
            <wp:wrapSquare wrapText="bothSides"/>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Pr="008C0FF8">
        <w:rPr>
          <w:rFonts w:asciiTheme="minorHAnsi" w:eastAsiaTheme="minorHAnsi" w:hAnsiTheme="minorHAnsi"/>
          <w:kern w:val="0"/>
          <w:lang w:eastAsia="en-US"/>
        </w:rPr>
        <w:t xml:space="preserve">Car ownership costs in Israel are markedly higher than in the US and most European countries. If carsharing prices would be equal to the rates </w:t>
      </w:r>
      <w:r>
        <w:rPr>
          <w:rFonts w:asciiTheme="minorHAnsi" w:eastAsiaTheme="minorHAnsi" w:hAnsiTheme="minorHAnsi"/>
          <w:kern w:val="0"/>
          <w:lang w:eastAsia="en-US"/>
        </w:rPr>
        <w:t>in the US, a high sharing ratio</w:t>
      </w:r>
      <w:r w:rsidRPr="008C0FF8">
        <w:rPr>
          <w:rFonts w:asciiTheme="minorHAnsi" w:eastAsiaTheme="minorHAnsi" w:hAnsiTheme="minorHAnsi"/>
          <w:kern w:val="0"/>
          <w:lang w:eastAsia="en-US"/>
        </w:rPr>
        <w:t xml:space="preserve"> could be anticipated in Israel. Thus, a sample survey of carsharing prices in major European and American cities was undertaken and compared against the pricing of Car2Go in Tel Aviv.</w:t>
      </w:r>
    </w:p>
    <w:p w:rsidR="00475FB9" w:rsidRPr="007710ED" w:rsidRDefault="00475FB9" w:rsidP="00475FB9">
      <w:pPr>
        <w:rPr>
          <w:b/>
          <w:bCs/>
        </w:rPr>
      </w:pPr>
      <w:r w:rsidRPr="007710ED">
        <w:rPr>
          <w:b/>
          <w:bCs/>
        </w:rPr>
        <w:t>Results</w:t>
      </w:r>
    </w:p>
    <w:p w:rsidR="00475FB9" w:rsidRPr="008C0FF8" w:rsidRDefault="00475FB9" w:rsidP="00475FB9">
      <w:pPr>
        <w:widowControl/>
        <w:suppressAutoHyphens w:val="0"/>
        <w:spacing w:after="200" w:line="276" w:lineRule="auto"/>
        <w:rPr>
          <w:rFonts w:asciiTheme="minorHAnsi" w:eastAsiaTheme="minorHAnsi" w:hAnsiTheme="minorHAnsi"/>
          <w:kern w:val="0"/>
          <w:lang w:eastAsia="en-US"/>
        </w:rPr>
      </w:pPr>
      <w:r w:rsidRPr="008C0FF8">
        <w:rPr>
          <w:rFonts w:asciiTheme="minorHAnsi" w:eastAsiaTheme="minorHAnsi" w:hAnsiTheme="minorHAnsi"/>
          <w:kern w:val="0"/>
          <w:lang w:eastAsia="en-US"/>
        </w:rPr>
        <w:t xml:space="preserve">Under current Car2Go pricing and with vehicle journeys adapted to suit the average Israeli mileage, carsharing was the cheaper option for 22.5% of all vehicles. The same calculations were run several times with changes to the assumptions. The results proved relatively robust at a level of about 20% for changes in mileage, gas prices and exclusion of primary household cars. However, the sharing ratio declined to 18% when luxury cars above NIS 160,000 were not considered for carsharing. When a minimal saving of NIS 4,000 was demanded before switching to carsharing, the sharing ratio sank to 14.86%, highlighting the relatively small difference between costs. The outcomes proved even more sensitive to changes in the hourly fees of carsharing. When </w:t>
      </w:r>
      <w:r w:rsidRPr="008C0FF8">
        <w:rPr>
          <w:rFonts w:asciiTheme="minorHAnsi" w:eastAsiaTheme="minorHAnsi" w:hAnsiTheme="minorHAnsi"/>
          <w:kern w:val="0"/>
          <w:lang w:eastAsia="en-US"/>
        </w:rPr>
        <w:lastRenderedPageBreak/>
        <w:t xml:space="preserve">these were assumed to rise by 50%, the sharing ratio sank to 11.43%. Combined with a minimal saving of NIS 4,000, a still remarkable 7.43% were calculated. Even with the most cautious assumptions and a low ratio of 5 replaced private vehicles for every shared car, about </w:t>
      </w:r>
      <w:r>
        <w:rPr>
          <w:rFonts w:asciiTheme="minorHAnsi" w:eastAsiaTheme="minorHAnsi" w:hAnsiTheme="minorHAnsi"/>
          <w:kern w:val="0"/>
          <w:lang w:eastAsia="en-US"/>
        </w:rPr>
        <w:t>49</w:t>
      </w:r>
      <w:r w:rsidRPr="008C0FF8">
        <w:rPr>
          <w:rFonts w:asciiTheme="minorHAnsi" w:eastAsiaTheme="minorHAnsi" w:hAnsiTheme="minorHAnsi"/>
          <w:kern w:val="0"/>
          <w:lang w:eastAsia="en-US"/>
        </w:rPr>
        <w:t>,000 vehicles would be taken off the streets.</w:t>
      </w:r>
    </w:p>
    <w:tbl>
      <w:tblPr>
        <w:tblStyle w:val="LightShading-Accent11"/>
        <w:tblW w:w="5000" w:type="pct"/>
        <w:tblLayout w:type="fixed"/>
        <w:tblLook w:val="04A0" w:firstRow="1" w:lastRow="0" w:firstColumn="1" w:lastColumn="0" w:noHBand="0" w:noVBand="1"/>
      </w:tblPr>
      <w:tblGrid>
        <w:gridCol w:w="2162"/>
        <w:gridCol w:w="1102"/>
        <w:gridCol w:w="1370"/>
        <w:gridCol w:w="1232"/>
        <w:gridCol w:w="958"/>
        <w:gridCol w:w="1001"/>
        <w:gridCol w:w="808"/>
        <w:gridCol w:w="1222"/>
      </w:tblGrid>
      <w:tr w:rsidR="00475FB9" w:rsidRPr="00D41F68" w:rsidTr="006B09E2">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97" w:type="pct"/>
            <w:hideMark/>
          </w:tcPr>
          <w:p w:rsidR="00475FB9" w:rsidRPr="007710ED" w:rsidRDefault="00475FB9" w:rsidP="006B09E2">
            <w:r>
              <w:t xml:space="preserve">Selected </w:t>
            </w:r>
            <w:r w:rsidRPr="00D41F68">
              <w:t>Scenario</w:t>
            </w:r>
            <w:r>
              <w:t>s</w:t>
            </w:r>
          </w:p>
        </w:tc>
        <w:tc>
          <w:tcPr>
            <w:tcW w:w="559" w:type="pct"/>
            <w:hideMark/>
          </w:tcPr>
          <w:p w:rsidR="00475FB9" w:rsidRPr="00D41F68" w:rsidRDefault="00475FB9" w:rsidP="006B09E2">
            <w:pPr>
              <w:jc w:val="left"/>
              <w:cnfStyle w:val="100000000000" w:firstRow="1" w:lastRow="0" w:firstColumn="0" w:lastColumn="0" w:oddVBand="0" w:evenVBand="0" w:oddHBand="0" w:evenHBand="0" w:firstRowFirstColumn="0" w:firstRowLastColumn="0" w:lastRowFirstColumn="0" w:lastRowLastColumn="0"/>
              <w:rPr>
                <w:sz w:val="22"/>
                <w:szCs w:val="22"/>
                <w:rtl/>
              </w:rPr>
            </w:pPr>
            <w:r w:rsidRPr="00D41F68">
              <w:rPr>
                <w:sz w:val="22"/>
                <w:szCs w:val="22"/>
              </w:rPr>
              <w:t>2</w:t>
            </w:r>
          </w:p>
        </w:tc>
        <w:tc>
          <w:tcPr>
            <w:tcW w:w="695" w:type="pct"/>
            <w:hideMark/>
          </w:tcPr>
          <w:p w:rsidR="00475FB9" w:rsidRPr="00D41F68" w:rsidRDefault="00475FB9" w:rsidP="006B09E2">
            <w:pPr>
              <w:jc w:val="left"/>
              <w:cnfStyle w:val="100000000000" w:firstRow="1" w:lastRow="0" w:firstColumn="0" w:lastColumn="0" w:oddVBand="0" w:evenVBand="0" w:oddHBand="0" w:evenHBand="0" w:firstRowFirstColumn="0" w:firstRowLastColumn="0" w:lastRowFirstColumn="0" w:lastRowLastColumn="0"/>
              <w:rPr>
                <w:sz w:val="22"/>
                <w:szCs w:val="22"/>
                <w:rtl/>
              </w:rPr>
            </w:pPr>
            <w:r w:rsidRPr="00D41F68">
              <w:rPr>
                <w:sz w:val="22"/>
                <w:szCs w:val="22"/>
              </w:rPr>
              <w:t>6</w:t>
            </w:r>
          </w:p>
        </w:tc>
        <w:tc>
          <w:tcPr>
            <w:tcW w:w="625" w:type="pct"/>
            <w:hideMark/>
          </w:tcPr>
          <w:p w:rsidR="00475FB9" w:rsidRPr="00D41F68" w:rsidRDefault="00475FB9" w:rsidP="006B09E2">
            <w:pPr>
              <w:jc w:val="left"/>
              <w:cnfStyle w:val="100000000000" w:firstRow="1" w:lastRow="0" w:firstColumn="0" w:lastColumn="0" w:oddVBand="0" w:evenVBand="0" w:oddHBand="0" w:evenHBand="0" w:firstRowFirstColumn="0" w:firstRowLastColumn="0" w:lastRowFirstColumn="0" w:lastRowLastColumn="0"/>
              <w:rPr>
                <w:sz w:val="22"/>
                <w:szCs w:val="22"/>
              </w:rPr>
            </w:pPr>
            <w:r w:rsidRPr="00D41F68">
              <w:rPr>
                <w:sz w:val="22"/>
                <w:szCs w:val="22"/>
              </w:rPr>
              <w:t>7b</w:t>
            </w:r>
          </w:p>
        </w:tc>
        <w:tc>
          <w:tcPr>
            <w:tcW w:w="486" w:type="pct"/>
            <w:hideMark/>
          </w:tcPr>
          <w:p w:rsidR="00475FB9" w:rsidRPr="00D41F68" w:rsidRDefault="00475FB9" w:rsidP="006B09E2">
            <w:pPr>
              <w:jc w:val="left"/>
              <w:cnfStyle w:val="100000000000" w:firstRow="1" w:lastRow="0" w:firstColumn="0" w:lastColumn="0" w:oddVBand="0" w:evenVBand="0" w:oddHBand="0" w:evenHBand="0" w:firstRowFirstColumn="0" w:firstRowLastColumn="0" w:lastRowFirstColumn="0" w:lastRowLastColumn="0"/>
              <w:rPr>
                <w:sz w:val="22"/>
                <w:szCs w:val="22"/>
              </w:rPr>
            </w:pPr>
            <w:r w:rsidRPr="00D41F68">
              <w:rPr>
                <w:sz w:val="22"/>
                <w:szCs w:val="22"/>
              </w:rPr>
              <w:t>8</w:t>
            </w:r>
          </w:p>
        </w:tc>
        <w:tc>
          <w:tcPr>
            <w:tcW w:w="508" w:type="pct"/>
            <w:noWrap/>
            <w:hideMark/>
          </w:tcPr>
          <w:p w:rsidR="00475FB9" w:rsidRPr="00D41F68" w:rsidRDefault="00475FB9" w:rsidP="006B09E2">
            <w:pPr>
              <w:jc w:val="left"/>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D41F68">
              <w:rPr>
                <w:rFonts w:ascii="Arial" w:hAnsi="Arial" w:cs="Arial"/>
                <w:sz w:val="22"/>
                <w:szCs w:val="22"/>
              </w:rPr>
              <w:t>9</w:t>
            </w:r>
          </w:p>
        </w:tc>
        <w:tc>
          <w:tcPr>
            <w:tcW w:w="410" w:type="pct"/>
            <w:hideMark/>
          </w:tcPr>
          <w:p w:rsidR="00475FB9" w:rsidRPr="00D41F68" w:rsidRDefault="00475FB9" w:rsidP="006B09E2">
            <w:pPr>
              <w:jc w:val="left"/>
              <w:cnfStyle w:val="100000000000" w:firstRow="1" w:lastRow="0" w:firstColumn="0" w:lastColumn="0" w:oddVBand="0" w:evenVBand="0" w:oddHBand="0" w:evenHBand="0" w:firstRowFirstColumn="0" w:firstRowLastColumn="0" w:lastRowFirstColumn="0" w:lastRowLastColumn="0"/>
              <w:rPr>
                <w:sz w:val="22"/>
                <w:szCs w:val="22"/>
              </w:rPr>
            </w:pPr>
            <w:r w:rsidRPr="00D41F68">
              <w:rPr>
                <w:sz w:val="22"/>
                <w:szCs w:val="22"/>
              </w:rPr>
              <w:t>10</w:t>
            </w:r>
          </w:p>
        </w:tc>
        <w:tc>
          <w:tcPr>
            <w:tcW w:w="620" w:type="pct"/>
            <w:noWrap/>
            <w:hideMark/>
          </w:tcPr>
          <w:p w:rsidR="00475FB9" w:rsidRPr="00D41F68" w:rsidRDefault="00475FB9" w:rsidP="006B09E2">
            <w:pPr>
              <w:jc w:val="left"/>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D41F68">
              <w:rPr>
                <w:rFonts w:ascii="Arial" w:hAnsi="Arial" w:cs="Arial"/>
                <w:sz w:val="22"/>
                <w:szCs w:val="22"/>
              </w:rPr>
              <w:t>11</w:t>
            </w:r>
          </w:p>
        </w:tc>
      </w:tr>
      <w:tr w:rsidR="00475FB9" w:rsidRPr="00D41F68" w:rsidTr="006B09E2">
        <w:trPr>
          <w:cnfStyle w:val="000000100000" w:firstRow="0" w:lastRow="0" w:firstColumn="0" w:lastColumn="0" w:oddVBand="0" w:evenVBand="0" w:oddHBand="1" w:evenHBand="0" w:firstRowFirstColumn="0" w:firstRowLastColumn="0" w:lastRowFirstColumn="0" w:lastRowLastColumn="0"/>
          <w:cantSplit/>
          <w:trHeight w:val="1645"/>
        </w:trPr>
        <w:tc>
          <w:tcPr>
            <w:cnfStyle w:val="001000000000" w:firstRow="0" w:lastRow="0" w:firstColumn="1" w:lastColumn="0" w:oddVBand="0" w:evenVBand="0" w:oddHBand="0" w:evenHBand="0" w:firstRowFirstColumn="0" w:firstRowLastColumn="0" w:lastRowFirstColumn="0" w:lastRowLastColumn="0"/>
            <w:tcW w:w="1097" w:type="pct"/>
            <w:hideMark/>
          </w:tcPr>
          <w:p w:rsidR="00475FB9" w:rsidRPr="00D41F68" w:rsidRDefault="00475FB9" w:rsidP="006B09E2">
            <w:pPr>
              <w:jc w:val="left"/>
              <w:rPr>
                <w:rtl/>
              </w:rPr>
            </w:pPr>
            <w:r w:rsidRPr="00D41F68">
              <w:t>Title</w:t>
            </w:r>
          </w:p>
        </w:tc>
        <w:tc>
          <w:tcPr>
            <w:tcW w:w="559" w:type="pct"/>
            <w:textDirection w:val="btLr"/>
            <w:hideMark/>
          </w:tcPr>
          <w:p w:rsidR="00475FB9" w:rsidRPr="00EC3FE4" w:rsidRDefault="00475FB9" w:rsidP="006B09E2">
            <w:pPr>
              <w:spacing w:line="240" w:lineRule="auto"/>
              <w:ind w:left="113" w:right="113"/>
              <w:jc w:val="left"/>
              <w:cnfStyle w:val="000000100000" w:firstRow="0" w:lastRow="0" w:firstColumn="0" w:lastColumn="0" w:oddVBand="0" w:evenVBand="0" w:oddHBand="1" w:evenHBand="0" w:firstRowFirstColumn="0" w:firstRowLastColumn="0" w:lastRowFirstColumn="0" w:lastRowLastColumn="0"/>
              <w:rPr>
                <w:sz w:val="22"/>
                <w:szCs w:val="22"/>
                <w:rtl/>
              </w:rPr>
            </w:pPr>
            <w:r w:rsidRPr="00EC3FE4">
              <w:rPr>
                <w:sz w:val="22"/>
                <w:szCs w:val="22"/>
              </w:rPr>
              <w:t>Km-adjusted base case</w:t>
            </w:r>
          </w:p>
        </w:tc>
        <w:tc>
          <w:tcPr>
            <w:tcW w:w="695" w:type="pct"/>
            <w:textDirection w:val="btLr"/>
            <w:hideMark/>
          </w:tcPr>
          <w:p w:rsidR="00475FB9" w:rsidRPr="00EC3FE4" w:rsidRDefault="00475FB9" w:rsidP="006B09E2">
            <w:pPr>
              <w:spacing w:line="240" w:lineRule="auto"/>
              <w:ind w:left="113" w:right="113"/>
              <w:jc w:val="left"/>
              <w:cnfStyle w:val="000000100000" w:firstRow="0" w:lastRow="0" w:firstColumn="0" w:lastColumn="0" w:oddVBand="0" w:evenVBand="0" w:oddHBand="1" w:evenHBand="0" w:firstRowFirstColumn="0" w:firstRowLastColumn="0" w:lastRowFirstColumn="0" w:lastRowLastColumn="0"/>
              <w:rPr>
                <w:sz w:val="22"/>
                <w:szCs w:val="22"/>
              </w:rPr>
            </w:pPr>
            <w:r w:rsidRPr="00EC3FE4">
              <w:rPr>
                <w:sz w:val="22"/>
                <w:szCs w:val="22"/>
              </w:rPr>
              <w:t>Purchase price for shared cars capped at NIS 160000</w:t>
            </w:r>
          </w:p>
        </w:tc>
        <w:tc>
          <w:tcPr>
            <w:tcW w:w="625" w:type="pct"/>
            <w:textDirection w:val="btLr"/>
            <w:hideMark/>
          </w:tcPr>
          <w:p w:rsidR="00475FB9" w:rsidRPr="00EC3FE4" w:rsidRDefault="00475FB9" w:rsidP="006B09E2">
            <w:pPr>
              <w:spacing w:line="240" w:lineRule="auto"/>
              <w:ind w:left="113" w:right="113"/>
              <w:jc w:val="left"/>
              <w:cnfStyle w:val="000000100000" w:firstRow="0" w:lastRow="0" w:firstColumn="0" w:lastColumn="0" w:oddVBand="0" w:evenVBand="0" w:oddHBand="1" w:evenHBand="0" w:firstRowFirstColumn="0" w:firstRowLastColumn="0" w:lastRowFirstColumn="0" w:lastRowLastColumn="0"/>
              <w:rPr>
                <w:sz w:val="22"/>
                <w:szCs w:val="22"/>
              </w:rPr>
            </w:pPr>
            <w:r w:rsidRPr="00EC3FE4">
              <w:rPr>
                <w:sz w:val="22"/>
                <w:szCs w:val="22"/>
              </w:rPr>
              <w:t>all vehicles except 1st</w:t>
            </w:r>
          </w:p>
        </w:tc>
        <w:tc>
          <w:tcPr>
            <w:tcW w:w="486" w:type="pct"/>
            <w:textDirection w:val="btLr"/>
            <w:hideMark/>
          </w:tcPr>
          <w:p w:rsidR="00475FB9" w:rsidRPr="00EC3FE4" w:rsidRDefault="00475FB9" w:rsidP="006B09E2">
            <w:pPr>
              <w:spacing w:line="240" w:lineRule="auto"/>
              <w:ind w:left="113" w:right="113"/>
              <w:jc w:val="left"/>
              <w:cnfStyle w:val="000000100000" w:firstRow="0" w:lastRow="0" w:firstColumn="0" w:lastColumn="0" w:oddVBand="0" w:evenVBand="0" w:oddHBand="1" w:evenHBand="0" w:firstRowFirstColumn="0" w:firstRowLastColumn="0" w:lastRowFirstColumn="0" w:lastRowLastColumn="0"/>
              <w:rPr>
                <w:sz w:val="22"/>
                <w:szCs w:val="22"/>
              </w:rPr>
            </w:pPr>
            <w:r w:rsidRPr="00EC3FE4">
              <w:rPr>
                <w:sz w:val="22"/>
                <w:szCs w:val="22"/>
              </w:rPr>
              <w:t>Minimum saving 4000 NIS</w:t>
            </w:r>
          </w:p>
        </w:tc>
        <w:tc>
          <w:tcPr>
            <w:tcW w:w="508" w:type="pct"/>
            <w:noWrap/>
            <w:textDirection w:val="btLr"/>
            <w:hideMark/>
          </w:tcPr>
          <w:p w:rsidR="00475FB9" w:rsidRPr="00EC3FE4" w:rsidRDefault="00475FB9" w:rsidP="006B09E2">
            <w:pPr>
              <w:spacing w:line="240" w:lineRule="auto"/>
              <w:ind w:left="113" w:right="113"/>
              <w:jc w:val="lef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C3FE4">
              <w:rPr>
                <w:rFonts w:ascii="Arial" w:hAnsi="Arial" w:cs="Arial"/>
                <w:sz w:val="22"/>
                <w:szCs w:val="22"/>
              </w:rPr>
              <w:t>Gas prices = NIS 5</w:t>
            </w:r>
          </w:p>
        </w:tc>
        <w:tc>
          <w:tcPr>
            <w:tcW w:w="410" w:type="pct"/>
            <w:textDirection w:val="btLr"/>
            <w:hideMark/>
          </w:tcPr>
          <w:p w:rsidR="00475FB9" w:rsidRPr="00EC3FE4" w:rsidRDefault="00475FB9" w:rsidP="006B09E2">
            <w:pPr>
              <w:spacing w:line="240" w:lineRule="auto"/>
              <w:ind w:left="113" w:right="113"/>
              <w:jc w:val="left"/>
              <w:cnfStyle w:val="000000100000" w:firstRow="0" w:lastRow="0" w:firstColumn="0" w:lastColumn="0" w:oddVBand="0" w:evenVBand="0" w:oddHBand="1" w:evenHBand="0" w:firstRowFirstColumn="0" w:firstRowLastColumn="0" w:lastRowFirstColumn="0" w:lastRowLastColumn="0"/>
              <w:rPr>
                <w:sz w:val="22"/>
                <w:szCs w:val="22"/>
              </w:rPr>
            </w:pPr>
            <w:r w:rsidRPr="00EC3FE4">
              <w:rPr>
                <w:sz w:val="22"/>
                <w:szCs w:val="22"/>
              </w:rPr>
              <w:t>50% price increase in hourly rates Car2Go</w:t>
            </w:r>
          </w:p>
        </w:tc>
        <w:tc>
          <w:tcPr>
            <w:tcW w:w="620" w:type="pct"/>
            <w:textDirection w:val="btLr"/>
            <w:hideMark/>
          </w:tcPr>
          <w:p w:rsidR="00475FB9" w:rsidRPr="00EC3FE4" w:rsidRDefault="00475FB9" w:rsidP="006B09E2">
            <w:pPr>
              <w:spacing w:line="240" w:lineRule="auto"/>
              <w:ind w:left="113" w:right="113"/>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Scenario 10 and minimum saving NIS 4000</w:t>
            </w:r>
          </w:p>
        </w:tc>
      </w:tr>
      <w:tr w:rsidR="00475FB9" w:rsidRPr="00D41F68" w:rsidTr="006B09E2">
        <w:trPr>
          <w:trHeight w:val="315"/>
        </w:trPr>
        <w:tc>
          <w:tcPr>
            <w:cnfStyle w:val="001000000000" w:firstRow="0" w:lastRow="0" w:firstColumn="1" w:lastColumn="0" w:oddVBand="0" w:evenVBand="0" w:oddHBand="0" w:evenHBand="0" w:firstRowFirstColumn="0" w:firstRowLastColumn="0" w:lastRowFirstColumn="0" w:lastRowLastColumn="0"/>
            <w:tcW w:w="1097" w:type="pct"/>
            <w:noWrap/>
            <w:hideMark/>
          </w:tcPr>
          <w:p w:rsidR="00475FB9" w:rsidRPr="008C0FF8" w:rsidRDefault="00475FB9" w:rsidP="006B09E2">
            <w:pPr>
              <w:spacing w:line="240" w:lineRule="auto"/>
              <w:jc w:val="left"/>
              <w:rPr>
                <w:rFonts w:asciiTheme="minorHAnsi" w:hAnsiTheme="minorHAnsi" w:cs="Arial"/>
                <w:b w:val="0"/>
                <w:bCs w:val="0"/>
                <w:sz w:val="22"/>
                <w:szCs w:val="22"/>
              </w:rPr>
            </w:pPr>
            <w:r w:rsidRPr="008C0FF8">
              <w:rPr>
                <w:rFonts w:asciiTheme="minorHAnsi" w:hAnsiTheme="minorHAnsi" w:cs="Arial"/>
                <w:b w:val="0"/>
                <w:bCs w:val="0"/>
                <w:sz w:val="22"/>
                <w:szCs w:val="22"/>
              </w:rPr>
              <w:t>Mean Ownership costs</w:t>
            </w:r>
          </w:p>
        </w:tc>
        <w:tc>
          <w:tcPr>
            <w:tcW w:w="559" w:type="pct"/>
            <w:hideMark/>
          </w:tcPr>
          <w:p w:rsidR="00475FB9" w:rsidRPr="00D41F68" w:rsidRDefault="00475FB9" w:rsidP="006B09E2">
            <w:pPr>
              <w:jc w:val="left"/>
              <w:cnfStyle w:val="000000000000" w:firstRow="0" w:lastRow="0" w:firstColumn="0" w:lastColumn="0" w:oddVBand="0" w:evenVBand="0" w:oddHBand="0" w:evenHBand="0" w:firstRowFirstColumn="0" w:firstRowLastColumn="0" w:lastRowFirstColumn="0" w:lastRowLastColumn="0"/>
              <w:rPr>
                <w:sz w:val="19"/>
                <w:szCs w:val="19"/>
              </w:rPr>
            </w:pPr>
            <w:r>
              <w:rPr>
                <w:sz w:val="19"/>
                <w:szCs w:val="19"/>
              </w:rPr>
              <w:t>32114</w:t>
            </w:r>
          </w:p>
        </w:tc>
        <w:tc>
          <w:tcPr>
            <w:tcW w:w="695" w:type="pct"/>
            <w:hideMark/>
          </w:tcPr>
          <w:p w:rsidR="00475FB9" w:rsidRPr="00D41F68" w:rsidRDefault="00475FB9" w:rsidP="006B09E2">
            <w:pPr>
              <w:jc w:val="left"/>
              <w:cnfStyle w:val="000000000000" w:firstRow="0" w:lastRow="0" w:firstColumn="0" w:lastColumn="0" w:oddVBand="0" w:evenVBand="0" w:oddHBand="0" w:evenHBand="0" w:firstRowFirstColumn="0" w:firstRowLastColumn="0" w:lastRowFirstColumn="0" w:lastRowLastColumn="0"/>
              <w:rPr>
                <w:sz w:val="19"/>
                <w:szCs w:val="19"/>
              </w:rPr>
            </w:pPr>
            <w:r w:rsidRPr="00D41F68">
              <w:rPr>
                <w:sz w:val="19"/>
                <w:szCs w:val="19"/>
              </w:rPr>
              <w:t>34230</w:t>
            </w:r>
          </w:p>
        </w:tc>
        <w:tc>
          <w:tcPr>
            <w:tcW w:w="625" w:type="pct"/>
            <w:hideMark/>
          </w:tcPr>
          <w:p w:rsidR="00475FB9" w:rsidRPr="00D41F68" w:rsidRDefault="00475FB9" w:rsidP="006B09E2">
            <w:pPr>
              <w:jc w:val="left"/>
              <w:cnfStyle w:val="000000000000" w:firstRow="0" w:lastRow="0" w:firstColumn="0" w:lastColumn="0" w:oddVBand="0" w:evenVBand="0" w:oddHBand="0" w:evenHBand="0" w:firstRowFirstColumn="0" w:firstRowLastColumn="0" w:lastRowFirstColumn="0" w:lastRowLastColumn="0"/>
              <w:rPr>
                <w:sz w:val="19"/>
                <w:szCs w:val="19"/>
              </w:rPr>
            </w:pPr>
            <w:r w:rsidRPr="00D41F68">
              <w:rPr>
                <w:sz w:val="19"/>
                <w:szCs w:val="19"/>
              </w:rPr>
              <w:t>32029</w:t>
            </w:r>
          </w:p>
        </w:tc>
        <w:tc>
          <w:tcPr>
            <w:tcW w:w="486" w:type="pct"/>
            <w:hideMark/>
          </w:tcPr>
          <w:p w:rsidR="00475FB9" w:rsidRPr="00D41F68" w:rsidRDefault="00475FB9" w:rsidP="006B09E2">
            <w:pPr>
              <w:jc w:val="left"/>
              <w:cnfStyle w:val="000000000000" w:firstRow="0" w:lastRow="0" w:firstColumn="0" w:lastColumn="0" w:oddVBand="0" w:evenVBand="0" w:oddHBand="0" w:evenHBand="0" w:firstRowFirstColumn="0" w:firstRowLastColumn="0" w:lastRowFirstColumn="0" w:lastRowLastColumn="0"/>
              <w:rPr>
                <w:sz w:val="19"/>
                <w:szCs w:val="19"/>
              </w:rPr>
            </w:pPr>
            <w:r w:rsidRPr="00D41F68">
              <w:rPr>
                <w:sz w:val="19"/>
                <w:szCs w:val="19"/>
              </w:rPr>
              <w:t>32173</w:t>
            </w:r>
          </w:p>
        </w:tc>
        <w:tc>
          <w:tcPr>
            <w:tcW w:w="508" w:type="pct"/>
            <w:hideMark/>
          </w:tcPr>
          <w:p w:rsidR="00475FB9" w:rsidRPr="00D41F68" w:rsidRDefault="00475FB9" w:rsidP="006B09E2">
            <w:pPr>
              <w:jc w:val="left"/>
              <w:cnfStyle w:val="000000000000" w:firstRow="0" w:lastRow="0" w:firstColumn="0" w:lastColumn="0" w:oddVBand="0" w:evenVBand="0" w:oddHBand="0" w:evenHBand="0" w:firstRowFirstColumn="0" w:firstRowLastColumn="0" w:lastRowFirstColumn="0" w:lastRowLastColumn="0"/>
              <w:rPr>
                <w:sz w:val="19"/>
                <w:szCs w:val="19"/>
              </w:rPr>
            </w:pPr>
            <w:r w:rsidRPr="00D41F68">
              <w:rPr>
                <w:sz w:val="19"/>
                <w:szCs w:val="19"/>
              </w:rPr>
              <w:t>29781</w:t>
            </w:r>
          </w:p>
        </w:tc>
        <w:tc>
          <w:tcPr>
            <w:tcW w:w="410" w:type="pct"/>
            <w:hideMark/>
          </w:tcPr>
          <w:p w:rsidR="00475FB9" w:rsidRPr="00D41F68" w:rsidRDefault="00475FB9" w:rsidP="006B09E2">
            <w:pPr>
              <w:jc w:val="left"/>
              <w:cnfStyle w:val="000000000000" w:firstRow="0" w:lastRow="0" w:firstColumn="0" w:lastColumn="0" w:oddVBand="0" w:evenVBand="0" w:oddHBand="0" w:evenHBand="0" w:firstRowFirstColumn="0" w:firstRowLastColumn="0" w:lastRowFirstColumn="0" w:lastRowLastColumn="0"/>
              <w:rPr>
                <w:sz w:val="19"/>
                <w:szCs w:val="19"/>
              </w:rPr>
            </w:pPr>
            <w:r w:rsidRPr="00D41F68">
              <w:rPr>
                <w:sz w:val="19"/>
                <w:szCs w:val="19"/>
              </w:rPr>
              <w:t>32141</w:t>
            </w:r>
          </w:p>
        </w:tc>
        <w:tc>
          <w:tcPr>
            <w:tcW w:w="620" w:type="pct"/>
            <w:hideMark/>
          </w:tcPr>
          <w:p w:rsidR="00475FB9" w:rsidRPr="00D41F68" w:rsidRDefault="00475FB9" w:rsidP="006B09E2">
            <w:pPr>
              <w:jc w:val="left"/>
              <w:cnfStyle w:val="000000000000" w:firstRow="0" w:lastRow="0" w:firstColumn="0" w:lastColumn="0" w:oddVBand="0" w:evenVBand="0" w:oddHBand="0" w:evenHBand="0" w:firstRowFirstColumn="0" w:firstRowLastColumn="0" w:lastRowFirstColumn="0" w:lastRowLastColumn="0"/>
              <w:rPr>
                <w:sz w:val="19"/>
                <w:szCs w:val="19"/>
              </w:rPr>
            </w:pPr>
            <w:r w:rsidRPr="00D41F68">
              <w:rPr>
                <w:sz w:val="19"/>
                <w:szCs w:val="19"/>
              </w:rPr>
              <w:t>32118</w:t>
            </w:r>
          </w:p>
        </w:tc>
      </w:tr>
      <w:tr w:rsidR="00475FB9" w:rsidRPr="00D41F68" w:rsidTr="006B09E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97" w:type="pct"/>
            <w:noWrap/>
            <w:hideMark/>
          </w:tcPr>
          <w:p w:rsidR="00475FB9" w:rsidRPr="008C0FF8" w:rsidRDefault="00475FB9" w:rsidP="006B09E2">
            <w:pPr>
              <w:spacing w:line="240" w:lineRule="auto"/>
              <w:jc w:val="left"/>
              <w:rPr>
                <w:rFonts w:asciiTheme="minorHAnsi" w:hAnsiTheme="minorHAnsi" w:cs="Arial"/>
                <w:b w:val="0"/>
                <w:bCs w:val="0"/>
                <w:sz w:val="22"/>
                <w:szCs w:val="22"/>
              </w:rPr>
            </w:pPr>
            <w:r w:rsidRPr="008C0FF8">
              <w:rPr>
                <w:rFonts w:asciiTheme="minorHAnsi" w:hAnsiTheme="minorHAnsi" w:cs="Arial"/>
                <w:b w:val="0"/>
                <w:bCs w:val="0"/>
                <w:sz w:val="22"/>
                <w:szCs w:val="22"/>
              </w:rPr>
              <w:t>Mean Sharing Costs</w:t>
            </w:r>
          </w:p>
        </w:tc>
        <w:tc>
          <w:tcPr>
            <w:tcW w:w="559" w:type="pct"/>
            <w:hideMark/>
          </w:tcPr>
          <w:p w:rsidR="00475FB9" w:rsidRPr="00D41F68" w:rsidRDefault="00475FB9" w:rsidP="006B09E2">
            <w:pPr>
              <w:jc w:val="left"/>
              <w:cnfStyle w:val="000000100000" w:firstRow="0" w:lastRow="0" w:firstColumn="0" w:lastColumn="0" w:oddVBand="0" w:evenVBand="0" w:oddHBand="1" w:evenHBand="0" w:firstRowFirstColumn="0" w:firstRowLastColumn="0" w:lastRowFirstColumn="0" w:lastRowLastColumn="0"/>
              <w:rPr>
                <w:sz w:val="19"/>
                <w:szCs w:val="19"/>
              </w:rPr>
            </w:pPr>
            <w:r w:rsidRPr="00D41F68">
              <w:rPr>
                <w:sz w:val="19"/>
                <w:szCs w:val="19"/>
              </w:rPr>
              <w:t>426</w:t>
            </w:r>
            <w:r>
              <w:rPr>
                <w:sz w:val="19"/>
                <w:szCs w:val="19"/>
              </w:rPr>
              <w:t>53</w:t>
            </w:r>
          </w:p>
        </w:tc>
        <w:tc>
          <w:tcPr>
            <w:tcW w:w="695" w:type="pct"/>
            <w:hideMark/>
          </w:tcPr>
          <w:p w:rsidR="00475FB9" w:rsidRPr="00D41F68" w:rsidRDefault="00475FB9" w:rsidP="006B09E2">
            <w:pPr>
              <w:jc w:val="left"/>
              <w:cnfStyle w:val="000000100000" w:firstRow="0" w:lastRow="0" w:firstColumn="0" w:lastColumn="0" w:oddVBand="0" w:evenVBand="0" w:oddHBand="1" w:evenHBand="0" w:firstRowFirstColumn="0" w:firstRowLastColumn="0" w:lastRowFirstColumn="0" w:lastRowLastColumn="0"/>
              <w:rPr>
                <w:sz w:val="19"/>
                <w:szCs w:val="19"/>
              </w:rPr>
            </w:pPr>
            <w:r w:rsidRPr="00D41F68">
              <w:rPr>
                <w:sz w:val="19"/>
                <w:szCs w:val="19"/>
              </w:rPr>
              <w:t>45553</w:t>
            </w:r>
          </w:p>
        </w:tc>
        <w:tc>
          <w:tcPr>
            <w:tcW w:w="625" w:type="pct"/>
            <w:hideMark/>
          </w:tcPr>
          <w:p w:rsidR="00475FB9" w:rsidRPr="00D41F68" w:rsidRDefault="00475FB9" w:rsidP="006B09E2">
            <w:pPr>
              <w:jc w:val="left"/>
              <w:cnfStyle w:val="000000100000" w:firstRow="0" w:lastRow="0" w:firstColumn="0" w:lastColumn="0" w:oddVBand="0" w:evenVBand="0" w:oddHBand="1" w:evenHBand="0" w:firstRowFirstColumn="0" w:firstRowLastColumn="0" w:lastRowFirstColumn="0" w:lastRowLastColumn="0"/>
              <w:rPr>
                <w:sz w:val="19"/>
                <w:szCs w:val="19"/>
              </w:rPr>
            </w:pPr>
            <w:r w:rsidRPr="00D41F68">
              <w:rPr>
                <w:sz w:val="19"/>
                <w:szCs w:val="19"/>
              </w:rPr>
              <w:t>43429</w:t>
            </w:r>
          </w:p>
        </w:tc>
        <w:tc>
          <w:tcPr>
            <w:tcW w:w="486" w:type="pct"/>
            <w:hideMark/>
          </w:tcPr>
          <w:p w:rsidR="00475FB9" w:rsidRPr="00D41F68" w:rsidRDefault="00475FB9" w:rsidP="006B09E2">
            <w:pPr>
              <w:jc w:val="left"/>
              <w:cnfStyle w:val="000000100000" w:firstRow="0" w:lastRow="0" w:firstColumn="0" w:lastColumn="0" w:oddVBand="0" w:evenVBand="0" w:oddHBand="1" w:evenHBand="0" w:firstRowFirstColumn="0" w:firstRowLastColumn="0" w:lastRowFirstColumn="0" w:lastRowLastColumn="0"/>
              <w:rPr>
                <w:sz w:val="19"/>
                <w:szCs w:val="19"/>
              </w:rPr>
            </w:pPr>
            <w:r w:rsidRPr="00D41F68">
              <w:rPr>
                <w:sz w:val="19"/>
                <w:szCs w:val="19"/>
              </w:rPr>
              <w:t>42667</w:t>
            </w:r>
          </w:p>
        </w:tc>
        <w:tc>
          <w:tcPr>
            <w:tcW w:w="508" w:type="pct"/>
            <w:hideMark/>
          </w:tcPr>
          <w:p w:rsidR="00475FB9" w:rsidRPr="00D41F68" w:rsidRDefault="00475FB9" w:rsidP="006B09E2">
            <w:pPr>
              <w:jc w:val="left"/>
              <w:cnfStyle w:val="000000100000" w:firstRow="0" w:lastRow="0" w:firstColumn="0" w:lastColumn="0" w:oddVBand="0" w:evenVBand="0" w:oddHBand="1" w:evenHBand="0" w:firstRowFirstColumn="0" w:firstRowLastColumn="0" w:lastRowFirstColumn="0" w:lastRowLastColumn="0"/>
              <w:rPr>
                <w:sz w:val="19"/>
                <w:szCs w:val="19"/>
              </w:rPr>
            </w:pPr>
            <w:r w:rsidRPr="00D41F68">
              <w:rPr>
                <w:sz w:val="19"/>
                <w:szCs w:val="19"/>
              </w:rPr>
              <w:t>42631</w:t>
            </w:r>
          </w:p>
        </w:tc>
        <w:tc>
          <w:tcPr>
            <w:tcW w:w="410" w:type="pct"/>
            <w:hideMark/>
          </w:tcPr>
          <w:p w:rsidR="00475FB9" w:rsidRPr="00D41F68" w:rsidRDefault="00475FB9" w:rsidP="006B09E2">
            <w:pPr>
              <w:jc w:val="left"/>
              <w:cnfStyle w:val="000000100000" w:firstRow="0" w:lastRow="0" w:firstColumn="0" w:lastColumn="0" w:oddVBand="0" w:evenVBand="0" w:oddHBand="1" w:evenHBand="0" w:firstRowFirstColumn="0" w:firstRowLastColumn="0" w:lastRowFirstColumn="0" w:lastRowLastColumn="0"/>
              <w:rPr>
                <w:sz w:val="19"/>
                <w:szCs w:val="19"/>
              </w:rPr>
            </w:pPr>
            <w:r w:rsidRPr="00D41F68">
              <w:rPr>
                <w:sz w:val="19"/>
                <w:szCs w:val="19"/>
              </w:rPr>
              <w:t>54701</w:t>
            </w:r>
          </w:p>
        </w:tc>
        <w:tc>
          <w:tcPr>
            <w:tcW w:w="620" w:type="pct"/>
            <w:hideMark/>
          </w:tcPr>
          <w:p w:rsidR="00475FB9" w:rsidRPr="00D41F68" w:rsidRDefault="00475FB9" w:rsidP="006B09E2">
            <w:pPr>
              <w:jc w:val="left"/>
              <w:cnfStyle w:val="000000100000" w:firstRow="0" w:lastRow="0" w:firstColumn="0" w:lastColumn="0" w:oddVBand="0" w:evenVBand="0" w:oddHBand="1" w:evenHBand="0" w:firstRowFirstColumn="0" w:firstRowLastColumn="0" w:lastRowFirstColumn="0" w:lastRowLastColumn="0"/>
              <w:rPr>
                <w:sz w:val="19"/>
                <w:szCs w:val="19"/>
              </w:rPr>
            </w:pPr>
            <w:r w:rsidRPr="00D41F68">
              <w:rPr>
                <w:sz w:val="19"/>
                <w:szCs w:val="19"/>
              </w:rPr>
              <w:t>54703</w:t>
            </w:r>
          </w:p>
        </w:tc>
      </w:tr>
      <w:tr w:rsidR="00475FB9" w:rsidRPr="00D41F68" w:rsidTr="006B09E2">
        <w:trPr>
          <w:trHeight w:val="365"/>
        </w:trPr>
        <w:tc>
          <w:tcPr>
            <w:cnfStyle w:val="001000000000" w:firstRow="0" w:lastRow="0" w:firstColumn="1" w:lastColumn="0" w:oddVBand="0" w:evenVBand="0" w:oddHBand="0" w:evenHBand="0" w:firstRowFirstColumn="0" w:firstRowLastColumn="0" w:lastRowFirstColumn="0" w:lastRowLastColumn="0"/>
            <w:tcW w:w="1097" w:type="pct"/>
            <w:hideMark/>
          </w:tcPr>
          <w:p w:rsidR="00475FB9" w:rsidRPr="008C0FF8" w:rsidRDefault="00475FB9" w:rsidP="006B09E2">
            <w:pPr>
              <w:spacing w:line="240" w:lineRule="auto"/>
              <w:jc w:val="left"/>
              <w:rPr>
                <w:rFonts w:asciiTheme="minorHAnsi" w:hAnsiTheme="minorHAnsi"/>
                <w:b w:val="0"/>
                <w:bCs w:val="0"/>
                <w:sz w:val="22"/>
                <w:szCs w:val="22"/>
              </w:rPr>
            </w:pPr>
            <w:r w:rsidRPr="008C0FF8">
              <w:rPr>
                <w:rFonts w:asciiTheme="minorHAnsi" w:hAnsiTheme="minorHAnsi"/>
                <w:b w:val="0"/>
                <w:bCs w:val="0"/>
                <w:sz w:val="22"/>
                <w:szCs w:val="22"/>
              </w:rPr>
              <w:t xml:space="preserve">Sharing - </w:t>
            </w:r>
            <w:r>
              <w:rPr>
                <w:rFonts w:asciiTheme="minorHAnsi" w:hAnsiTheme="minorHAnsi"/>
                <w:b w:val="0"/>
                <w:bCs w:val="0"/>
                <w:sz w:val="22"/>
                <w:szCs w:val="22"/>
              </w:rPr>
              <w:t>Ratio</w:t>
            </w:r>
          </w:p>
        </w:tc>
        <w:tc>
          <w:tcPr>
            <w:tcW w:w="559" w:type="pct"/>
            <w:hideMark/>
          </w:tcPr>
          <w:p w:rsidR="00475FB9" w:rsidRPr="00D41F68" w:rsidRDefault="00475FB9" w:rsidP="006B09E2">
            <w:pPr>
              <w:jc w:val="left"/>
              <w:cnfStyle w:val="000000000000" w:firstRow="0" w:lastRow="0" w:firstColumn="0" w:lastColumn="0" w:oddVBand="0" w:evenVBand="0" w:oddHBand="0" w:evenHBand="0" w:firstRowFirstColumn="0" w:firstRowLastColumn="0" w:lastRowFirstColumn="0" w:lastRowLastColumn="0"/>
              <w:rPr>
                <w:sz w:val="19"/>
                <w:szCs w:val="19"/>
              </w:rPr>
            </w:pPr>
            <w:r w:rsidRPr="00D41F68">
              <w:rPr>
                <w:sz w:val="19"/>
                <w:szCs w:val="19"/>
              </w:rPr>
              <w:t>22.</w:t>
            </w:r>
            <w:r>
              <w:rPr>
                <w:sz w:val="19"/>
                <w:szCs w:val="19"/>
              </w:rPr>
              <w:t>29</w:t>
            </w:r>
            <w:r w:rsidRPr="00D41F68">
              <w:rPr>
                <w:sz w:val="19"/>
                <w:szCs w:val="19"/>
              </w:rPr>
              <w:t>%</w:t>
            </w:r>
          </w:p>
        </w:tc>
        <w:tc>
          <w:tcPr>
            <w:tcW w:w="695" w:type="pct"/>
            <w:hideMark/>
          </w:tcPr>
          <w:p w:rsidR="00475FB9" w:rsidRPr="00D41F68" w:rsidRDefault="00475FB9" w:rsidP="006B09E2">
            <w:pPr>
              <w:jc w:val="left"/>
              <w:cnfStyle w:val="000000000000" w:firstRow="0" w:lastRow="0" w:firstColumn="0" w:lastColumn="0" w:oddVBand="0" w:evenVBand="0" w:oddHBand="0" w:evenHBand="0" w:firstRowFirstColumn="0" w:firstRowLastColumn="0" w:lastRowFirstColumn="0" w:lastRowLastColumn="0"/>
              <w:rPr>
                <w:sz w:val="19"/>
                <w:szCs w:val="19"/>
              </w:rPr>
            </w:pPr>
            <w:r w:rsidRPr="00D41F68">
              <w:rPr>
                <w:sz w:val="19"/>
                <w:szCs w:val="19"/>
              </w:rPr>
              <w:t>18.87%</w:t>
            </w:r>
          </w:p>
        </w:tc>
        <w:tc>
          <w:tcPr>
            <w:tcW w:w="625" w:type="pct"/>
            <w:hideMark/>
          </w:tcPr>
          <w:p w:rsidR="00475FB9" w:rsidRPr="00D41F68" w:rsidRDefault="00475FB9" w:rsidP="006B09E2">
            <w:pPr>
              <w:jc w:val="left"/>
              <w:cnfStyle w:val="000000000000" w:firstRow="0" w:lastRow="0" w:firstColumn="0" w:lastColumn="0" w:oddVBand="0" w:evenVBand="0" w:oddHBand="0" w:evenHBand="0" w:firstRowFirstColumn="0" w:firstRowLastColumn="0" w:lastRowFirstColumn="0" w:lastRowLastColumn="0"/>
              <w:rPr>
                <w:sz w:val="19"/>
                <w:szCs w:val="19"/>
              </w:rPr>
            </w:pPr>
            <w:r w:rsidRPr="00D41F68">
              <w:rPr>
                <w:sz w:val="19"/>
                <w:szCs w:val="19"/>
              </w:rPr>
              <w:t>20.11%</w:t>
            </w:r>
          </w:p>
        </w:tc>
        <w:tc>
          <w:tcPr>
            <w:tcW w:w="486" w:type="pct"/>
            <w:hideMark/>
          </w:tcPr>
          <w:p w:rsidR="00475FB9" w:rsidRPr="00D41F68" w:rsidRDefault="00475FB9" w:rsidP="006B09E2">
            <w:pPr>
              <w:jc w:val="left"/>
              <w:cnfStyle w:val="000000000000" w:firstRow="0" w:lastRow="0" w:firstColumn="0" w:lastColumn="0" w:oddVBand="0" w:evenVBand="0" w:oddHBand="0" w:evenHBand="0" w:firstRowFirstColumn="0" w:firstRowLastColumn="0" w:lastRowFirstColumn="0" w:lastRowLastColumn="0"/>
              <w:rPr>
                <w:sz w:val="19"/>
                <w:szCs w:val="19"/>
              </w:rPr>
            </w:pPr>
            <w:r w:rsidRPr="00D41F68">
              <w:rPr>
                <w:sz w:val="19"/>
                <w:szCs w:val="19"/>
              </w:rPr>
              <w:t>14.86%</w:t>
            </w:r>
          </w:p>
        </w:tc>
        <w:tc>
          <w:tcPr>
            <w:tcW w:w="508" w:type="pct"/>
            <w:hideMark/>
          </w:tcPr>
          <w:p w:rsidR="00475FB9" w:rsidRPr="00D41F68" w:rsidRDefault="00475FB9" w:rsidP="006B09E2">
            <w:pPr>
              <w:jc w:val="left"/>
              <w:cnfStyle w:val="000000000000" w:firstRow="0" w:lastRow="0" w:firstColumn="0" w:lastColumn="0" w:oddVBand="0" w:evenVBand="0" w:oddHBand="0" w:evenHBand="0" w:firstRowFirstColumn="0" w:firstRowLastColumn="0" w:lastRowFirstColumn="0" w:lastRowLastColumn="0"/>
              <w:rPr>
                <w:sz w:val="19"/>
                <w:szCs w:val="19"/>
              </w:rPr>
            </w:pPr>
            <w:r w:rsidRPr="00D41F68">
              <w:rPr>
                <w:sz w:val="19"/>
                <w:szCs w:val="19"/>
              </w:rPr>
              <w:t>19.67%</w:t>
            </w:r>
          </w:p>
        </w:tc>
        <w:tc>
          <w:tcPr>
            <w:tcW w:w="410" w:type="pct"/>
            <w:hideMark/>
          </w:tcPr>
          <w:p w:rsidR="00475FB9" w:rsidRPr="00D41F68" w:rsidRDefault="00475FB9" w:rsidP="006B09E2">
            <w:pPr>
              <w:jc w:val="left"/>
              <w:cnfStyle w:val="000000000000" w:firstRow="0" w:lastRow="0" w:firstColumn="0" w:lastColumn="0" w:oddVBand="0" w:evenVBand="0" w:oddHBand="0" w:evenHBand="0" w:firstRowFirstColumn="0" w:firstRowLastColumn="0" w:lastRowFirstColumn="0" w:lastRowLastColumn="0"/>
              <w:rPr>
                <w:sz w:val="19"/>
                <w:szCs w:val="19"/>
              </w:rPr>
            </w:pPr>
            <w:r w:rsidRPr="00D41F68">
              <w:rPr>
                <w:sz w:val="19"/>
                <w:szCs w:val="19"/>
              </w:rPr>
              <w:t>11.43%</w:t>
            </w:r>
          </w:p>
        </w:tc>
        <w:tc>
          <w:tcPr>
            <w:tcW w:w="620" w:type="pct"/>
            <w:hideMark/>
          </w:tcPr>
          <w:p w:rsidR="00475FB9" w:rsidRPr="00D41F68" w:rsidRDefault="00475FB9" w:rsidP="006B09E2">
            <w:pPr>
              <w:jc w:val="left"/>
              <w:cnfStyle w:val="000000000000" w:firstRow="0" w:lastRow="0" w:firstColumn="0" w:lastColumn="0" w:oddVBand="0" w:evenVBand="0" w:oddHBand="0" w:evenHBand="0" w:firstRowFirstColumn="0" w:firstRowLastColumn="0" w:lastRowFirstColumn="0" w:lastRowLastColumn="0"/>
              <w:rPr>
                <w:sz w:val="19"/>
                <w:szCs w:val="19"/>
              </w:rPr>
            </w:pPr>
            <w:r w:rsidRPr="00D41F68">
              <w:rPr>
                <w:sz w:val="19"/>
                <w:szCs w:val="19"/>
              </w:rPr>
              <w:t>7.43%</w:t>
            </w:r>
          </w:p>
        </w:tc>
      </w:tr>
      <w:tr w:rsidR="00475FB9" w:rsidRPr="00D41F68" w:rsidTr="006B09E2">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097" w:type="pct"/>
            <w:noWrap/>
            <w:hideMark/>
          </w:tcPr>
          <w:p w:rsidR="00475FB9" w:rsidRPr="008C0FF8" w:rsidRDefault="00475FB9" w:rsidP="006B09E2">
            <w:pPr>
              <w:spacing w:line="240" w:lineRule="auto"/>
              <w:jc w:val="left"/>
              <w:rPr>
                <w:rFonts w:asciiTheme="minorHAnsi" w:hAnsiTheme="minorHAnsi" w:cs="Arial"/>
                <w:b w:val="0"/>
                <w:bCs w:val="0"/>
                <w:sz w:val="22"/>
                <w:szCs w:val="22"/>
              </w:rPr>
            </w:pPr>
            <w:r w:rsidRPr="008C0FF8">
              <w:rPr>
                <w:rFonts w:asciiTheme="minorHAnsi" w:hAnsiTheme="minorHAnsi" w:cs="Arial"/>
                <w:b w:val="0"/>
                <w:bCs w:val="0"/>
                <w:sz w:val="22"/>
                <w:szCs w:val="22"/>
              </w:rPr>
              <w:t>Reduced vehicles (assumed ratio 1:5)</w:t>
            </w:r>
          </w:p>
        </w:tc>
        <w:tc>
          <w:tcPr>
            <w:tcW w:w="559" w:type="pct"/>
            <w:noWrap/>
            <w:hideMark/>
          </w:tcPr>
          <w:p w:rsidR="00475FB9" w:rsidRPr="00D41F68" w:rsidRDefault="00475FB9" w:rsidP="006B09E2">
            <w:pPr>
              <w:jc w:val="lef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148,339</w:t>
            </w:r>
          </w:p>
        </w:tc>
        <w:tc>
          <w:tcPr>
            <w:tcW w:w="695" w:type="pct"/>
            <w:noWrap/>
            <w:hideMark/>
          </w:tcPr>
          <w:p w:rsidR="00475FB9" w:rsidRPr="00D41F68" w:rsidRDefault="00475FB9" w:rsidP="006B09E2">
            <w:pPr>
              <w:jc w:val="lef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41F68">
              <w:rPr>
                <w:rFonts w:ascii="Arial" w:hAnsi="Arial" w:cs="Arial"/>
                <w:sz w:val="16"/>
                <w:szCs w:val="16"/>
              </w:rPr>
              <w:t>125,582</w:t>
            </w:r>
          </w:p>
        </w:tc>
        <w:tc>
          <w:tcPr>
            <w:tcW w:w="625" w:type="pct"/>
            <w:noWrap/>
            <w:hideMark/>
          </w:tcPr>
          <w:p w:rsidR="00475FB9" w:rsidRPr="00D41F68" w:rsidRDefault="00475FB9" w:rsidP="006B09E2">
            <w:pPr>
              <w:jc w:val="lef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41F68">
              <w:rPr>
                <w:rFonts w:ascii="Arial" w:hAnsi="Arial" w:cs="Arial"/>
                <w:sz w:val="16"/>
                <w:szCs w:val="16"/>
              </w:rPr>
              <w:t>133,818</w:t>
            </w:r>
          </w:p>
        </w:tc>
        <w:tc>
          <w:tcPr>
            <w:tcW w:w="486" w:type="pct"/>
            <w:noWrap/>
            <w:hideMark/>
          </w:tcPr>
          <w:p w:rsidR="00475FB9" w:rsidRPr="00D41F68" w:rsidRDefault="00475FB9" w:rsidP="006B09E2">
            <w:pPr>
              <w:jc w:val="lef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41F68">
              <w:rPr>
                <w:rFonts w:ascii="Arial" w:hAnsi="Arial" w:cs="Arial"/>
                <w:sz w:val="16"/>
                <w:szCs w:val="16"/>
              </w:rPr>
              <w:t>98,906</w:t>
            </w:r>
          </w:p>
        </w:tc>
        <w:tc>
          <w:tcPr>
            <w:tcW w:w="508" w:type="pct"/>
            <w:noWrap/>
            <w:hideMark/>
          </w:tcPr>
          <w:p w:rsidR="00475FB9" w:rsidRPr="00D41F68" w:rsidRDefault="00475FB9" w:rsidP="006B09E2">
            <w:pPr>
              <w:jc w:val="lef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41F68">
              <w:rPr>
                <w:rFonts w:ascii="Arial" w:hAnsi="Arial" w:cs="Arial"/>
                <w:sz w:val="16"/>
                <w:szCs w:val="16"/>
              </w:rPr>
              <w:t>130,903</w:t>
            </w:r>
          </w:p>
        </w:tc>
        <w:tc>
          <w:tcPr>
            <w:tcW w:w="410" w:type="pct"/>
            <w:noWrap/>
            <w:hideMark/>
          </w:tcPr>
          <w:p w:rsidR="00475FB9" w:rsidRPr="00D41F68" w:rsidRDefault="00475FB9" w:rsidP="006B09E2">
            <w:pPr>
              <w:jc w:val="lef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41F68">
              <w:rPr>
                <w:rFonts w:ascii="Arial" w:hAnsi="Arial" w:cs="Arial"/>
                <w:sz w:val="16"/>
                <w:szCs w:val="16"/>
              </w:rPr>
              <w:t>76,093</w:t>
            </w:r>
          </w:p>
        </w:tc>
        <w:tc>
          <w:tcPr>
            <w:tcW w:w="620" w:type="pct"/>
            <w:noWrap/>
            <w:hideMark/>
          </w:tcPr>
          <w:p w:rsidR="00475FB9" w:rsidRPr="00D41F68" w:rsidRDefault="00475FB9" w:rsidP="006B09E2">
            <w:pPr>
              <w:jc w:val="lef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41F68">
              <w:rPr>
                <w:rFonts w:ascii="Arial" w:hAnsi="Arial" w:cs="Arial"/>
                <w:sz w:val="16"/>
                <w:szCs w:val="16"/>
              </w:rPr>
              <w:t>49,420</w:t>
            </w:r>
          </w:p>
        </w:tc>
      </w:tr>
    </w:tbl>
    <w:p w:rsidR="00475FB9" w:rsidRDefault="00475FB9" w:rsidP="00475FB9">
      <w:pPr>
        <w:rPr>
          <w:b/>
          <w:bCs/>
        </w:rPr>
      </w:pPr>
    </w:p>
    <w:p w:rsidR="00475FB9" w:rsidRPr="007710ED" w:rsidRDefault="00475FB9" w:rsidP="00475FB9">
      <w:pPr>
        <w:rPr>
          <w:b/>
          <w:bCs/>
        </w:rPr>
      </w:pPr>
      <w:r w:rsidRPr="007710ED">
        <w:rPr>
          <w:b/>
          <w:bCs/>
        </w:rPr>
        <w:t>Remarks</w:t>
      </w:r>
    </w:p>
    <w:p w:rsidR="00475FB9" w:rsidRDefault="00475FB9" w:rsidP="00475FB9">
      <w:pPr>
        <w:spacing w:line="276" w:lineRule="auto"/>
        <w:rPr>
          <w:rFonts w:asciiTheme="minorHAnsi" w:hAnsiTheme="minorHAnsi"/>
        </w:rPr>
      </w:pPr>
      <w:r w:rsidRPr="008C0FF8">
        <w:rPr>
          <w:rFonts w:asciiTheme="minorHAnsi" w:hAnsiTheme="minorHAnsi"/>
        </w:rPr>
        <w:t xml:space="preserve">Even though only households defined as urban or suburban were included, not all neighborhoods are dense and connected enough to make carsharing viable. The assumption of daily vehicle usage would probably also lead to excessive peak demand. On the other hand, this study also does not consider a user's reduction of driven miles. </w:t>
      </w:r>
      <w:r>
        <w:rPr>
          <w:rFonts w:asciiTheme="minorHAnsi" w:hAnsiTheme="minorHAnsi"/>
        </w:rPr>
        <w:t>In general, carsharing is not a viable solution for commuters.</w:t>
      </w:r>
    </w:p>
    <w:p w:rsidR="00475FB9" w:rsidRDefault="00475FB9" w:rsidP="00475FB9">
      <w:pPr>
        <w:rPr>
          <w:b/>
          <w:bCs/>
        </w:rPr>
      </w:pPr>
    </w:p>
    <w:p w:rsidR="00475FB9" w:rsidRPr="007710ED" w:rsidRDefault="00475FB9" w:rsidP="00475FB9">
      <w:pPr>
        <w:rPr>
          <w:b/>
          <w:bCs/>
        </w:rPr>
      </w:pPr>
      <w:r w:rsidRPr="007710ED">
        <w:rPr>
          <w:b/>
          <w:bCs/>
        </w:rPr>
        <w:t>Conclusions</w:t>
      </w:r>
    </w:p>
    <w:p w:rsidR="00475FB9" w:rsidRDefault="00475FB9" w:rsidP="00475FB9">
      <w:pPr>
        <w:spacing w:line="276" w:lineRule="auto"/>
      </w:pPr>
      <w:r w:rsidRPr="008C0FF8">
        <w:rPr>
          <w:rFonts w:asciiTheme="minorHAnsi" w:hAnsiTheme="minorHAnsi"/>
        </w:rPr>
        <w:t xml:space="preserve">While the results must be taken with caution, they highlight that carsharing is not only an option for environmentally aware urbanites, but can often be economically justified. </w:t>
      </w:r>
      <w:r>
        <w:rPr>
          <w:rFonts w:asciiTheme="minorHAnsi" w:hAnsiTheme="minorHAnsi"/>
        </w:rPr>
        <w:t>The graph below shows that</w:t>
      </w:r>
      <w:r w:rsidRPr="008C0FF8">
        <w:rPr>
          <w:rFonts w:asciiTheme="minorHAnsi" w:hAnsiTheme="minorHAnsi"/>
        </w:rPr>
        <w:t xml:space="preserve"> the competitive advantage of carsharing is highly sensitive to the hourly fee charged by the provider. In Car2Go's case, this fee is currently very cheap. However, even after considerable price hikes carsharing remains competitive for an impressive amount of vehicles.</w:t>
      </w:r>
    </w:p>
    <w:p w:rsidR="00475FB9" w:rsidRDefault="00475FB9" w:rsidP="00475FB9">
      <w:pPr>
        <w:spacing w:line="276" w:lineRule="auto"/>
      </w:pPr>
    </w:p>
    <w:p w:rsidR="00475FB9" w:rsidRDefault="00475FB9" w:rsidP="00475FB9">
      <w:pPr>
        <w:spacing w:line="276" w:lineRule="auto"/>
      </w:pPr>
      <w:r w:rsidRPr="00553860">
        <w:rPr>
          <w:rFonts w:cs="Arial"/>
          <w:noProof/>
          <w:lang w:eastAsia="en-US"/>
        </w:rPr>
        <w:lastRenderedPageBreak/>
        <w:drawing>
          <wp:inline distT="0" distB="0" distL="0" distR="0" wp14:anchorId="06417C3E" wp14:editId="19481637">
            <wp:extent cx="4572000" cy="2743200"/>
            <wp:effectExtent l="19050" t="0" r="1905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75FB9" w:rsidRDefault="00475FB9" w:rsidP="00475FB9">
      <w:pPr>
        <w:spacing w:line="276" w:lineRule="auto"/>
      </w:pPr>
    </w:p>
    <w:p w:rsidR="00475FB9" w:rsidRDefault="00475FB9">
      <w:pPr>
        <w:widowControl/>
        <w:suppressAutoHyphens w:val="0"/>
        <w:spacing w:line="240" w:lineRule="auto"/>
        <w:jc w:val="left"/>
      </w:pPr>
      <w:r>
        <w:br w:type="page"/>
      </w:r>
    </w:p>
    <w:p w:rsidR="008C0FF8" w:rsidRPr="008C0FF8" w:rsidRDefault="008C0FF8" w:rsidP="008C0FF8"/>
    <w:p w:rsidR="00C32ABC" w:rsidRDefault="00C32ABC">
      <w:pPr>
        <w:widowControl/>
        <w:suppressAutoHyphens w:val="0"/>
        <w:spacing w:line="240" w:lineRule="auto"/>
        <w:jc w:val="left"/>
      </w:pPr>
    </w:p>
    <w:sdt>
      <w:sdtPr>
        <w:rPr>
          <w:rFonts w:ascii="Times New Roman" w:eastAsia="DejaVu Sans" w:hAnsi="Times New Roman" w:cstheme="minorBidi"/>
          <w:b w:val="0"/>
          <w:bCs w:val="0"/>
          <w:color w:val="auto"/>
          <w:kern w:val="1"/>
          <w:sz w:val="24"/>
          <w:szCs w:val="24"/>
          <w:lang w:eastAsia="he-IL" w:bidi="he-IL"/>
        </w:rPr>
        <w:id w:val="380156892"/>
        <w:docPartObj>
          <w:docPartGallery w:val="Table of Contents"/>
          <w:docPartUnique/>
        </w:docPartObj>
      </w:sdtPr>
      <w:sdtEndPr/>
      <w:sdtContent>
        <w:p w:rsidR="00EE1E0B" w:rsidRDefault="00EE1E0B">
          <w:pPr>
            <w:pStyle w:val="TOCHeading"/>
          </w:pPr>
          <w:r>
            <w:t>Table of Contents</w:t>
          </w:r>
        </w:p>
        <w:p w:rsidR="00735FDC" w:rsidRDefault="00045553">
          <w:pPr>
            <w:pStyle w:val="TOC1"/>
            <w:tabs>
              <w:tab w:val="right" w:leader="dot" w:pos="9962"/>
            </w:tabs>
            <w:rPr>
              <w:rFonts w:asciiTheme="minorHAnsi" w:eastAsiaTheme="minorEastAsia" w:hAnsiTheme="minorHAnsi"/>
              <w:noProof/>
              <w:kern w:val="0"/>
              <w:sz w:val="22"/>
              <w:szCs w:val="22"/>
              <w:lang w:eastAsia="en-US"/>
            </w:rPr>
          </w:pPr>
          <w:r>
            <w:fldChar w:fldCharType="begin"/>
          </w:r>
          <w:r w:rsidR="00EE1E0B">
            <w:instrText xml:space="preserve"> TOC \o "1-3" \h \z \u </w:instrText>
          </w:r>
          <w:r>
            <w:fldChar w:fldCharType="separate"/>
          </w:r>
          <w:hyperlink w:anchor="_Toc263943196" w:history="1">
            <w:r w:rsidR="00735FDC" w:rsidRPr="00B841A0">
              <w:rPr>
                <w:rStyle w:val="Hyperlink"/>
                <w:noProof/>
              </w:rPr>
              <w:t>Introduction</w:t>
            </w:r>
            <w:r w:rsidR="00735FDC">
              <w:rPr>
                <w:noProof/>
                <w:webHidden/>
              </w:rPr>
              <w:tab/>
            </w:r>
            <w:r w:rsidR="00735FDC">
              <w:rPr>
                <w:rStyle w:val="Hyperlink"/>
                <w:noProof/>
                <w:rtl/>
              </w:rPr>
              <w:fldChar w:fldCharType="begin"/>
            </w:r>
            <w:r w:rsidR="00735FDC">
              <w:rPr>
                <w:noProof/>
                <w:webHidden/>
              </w:rPr>
              <w:instrText xml:space="preserve"> PAGEREF _Toc263943196 \h </w:instrText>
            </w:r>
            <w:r w:rsidR="00735FDC">
              <w:rPr>
                <w:rStyle w:val="Hyperlink"/>
                <w:noProof/>
                <w:rtl/>
              </w:rPr>
            </w:r>
            <w:r w:rsidR="00735FDC">
              <w:rPr>
                <w:rStyle w:val="Hyperlink"/>
                <w:noProof/>
                <w:rtl/>
              </w:rPr>
              <w:fldChar w:fldCharType="separate"/>
            </w:r>
            <w:r w:rsidR="00D67681">
              <w:rPr>
                <w:noProof/>
                <w:webHidden/>
              </w:rPr>
              <w:t>6</w:t>
            </w:r>
            <w:r w:rsidR="00735FDC">
              <w:rPr>
                <w:rStyle w:val="Hyperlink"/>
                <w:noProof/>
                <w:rtl/>
              </w:rPr>
              <w:fldChar w:fldCharType="end"/>
            </w:r>
          </w:hyperlink>
        </w:p>
        <w:p w:rsidR="00735FDC" w:rsidRDefault="00C64E65">
          <w:pPr>
            <w:pStyle w:val="TOC1"/>
            <w:tabs>
              <w:tab w:val="right" w:leader="dot" w:pos="9962"/>
            </w:tabs>
            <w:rPr>
              <w:rFonts w:asciiTheme="minorHAnsi" w:eastAsiaTheme="minorEastAsia" w:hAnsiTheme="minorHAnsi"/>
              <w:noProof/>
              <w:kern w:val="0"/>
              <w:sz w:val="22"/>
              <w:szCs w:val="22"/>
              <w:lang w:eastAsia="en-US"/>
            </w:rPr>
          </w:pPr>
          <w:hyperlink w:anchor="_Toc263943197" w:history="1">
            <w:r w:rsidR="00735FDC" w:rsidRPr="00B841A0">
              <w:rPr>
                <w:rStyle w:val="Hyperlink"/>
                <w:noProof/>
              </w:rPr>
              <w:t>Literature Review of Market Potential Analyses</w:t>
            </w:r>
            <w:r w:rsidR="00735FDC">
              <w:rPr>
                <w:noProof/>
                <w:webHidden/>
              </w:rPr>
              <w:tab/>
            </w:r>
            <w:r w:rsidR="00735FDC">
              <w:rPr>
                <w:rStyle w:val="Hyperlink"/>
                <w:noProof/>
                <w:rtl/>
              </w:rPr>
              <w:fldChar w:fldCharType="begin"/>
            </w:r>
            <w:r w:rsidR="00735FDC">
              <w:rPr>
                <w:noProof/>
                <w:webHidden/>
              </w:rPr>
              <w:instrText xml:space="preserve"> PAGEREF _Toc263943197 \h </w:instrText>
            </w:r>
            <w:r w:rsidR="00735FDC">
              <w:rPr>
                <w:rStyle w:val="Hyperlink"/>
                <w:noProof/>
                <w:rtl/>
              </w:rPr>
            </w:r>
            <w:r w:rsidR="00735FDC">
              <w:rPr>
                <w:rStyle w:val="Hyperlink"/>
                <w:noProof/>
                <w:rtl/>
              </w:rPr>
              <w:fldChar w:fldCharType="separate"/>
            </w:r>
            <w:r w:rsidR="00D67681">
              <w:rPr>
                <w:noProof/>
                <w:webHidden/>
              </w:rPr>
              <w:t>7</w:t>
            </w:r>
            <w:r w:rsidR="00735FDC">
              <w:rPr>
                <w:rStyle w:val="Hyperlink"/>
                <w:noProof/>
                <w:rtl/>
              </w:rPr>
              <w:fldChar w:fldCharType="end"/>
            </w:r>
          </w:hyperlink>
        </w:p>
        <w:p w:rsidR="00735FDC" w:rsidRDefault="00C64E65">
          <w:pPr>
            <w:pStyle w:val="TOC1"/>
            <w:tabs>
              <w:tab w:val="right" w:leader="dot" w:pos="9962"/>
            </w:tabs>
            <w:rPr>
              <w:rFonts w:asciiTheme="minorHAnsi" w:eastAsiaTheme="minorEastAsia" w:hAnsiTheme="minorHAnsi"/>
              <w:noProof/>
              <w:kern w:val="0"/>
              <w:sz w:val="22"/>
              <w:szCs w:val="22"/>
              <w:lang w:eastAsia="en-US"/>
            </w:rPr>
          </w:pPr>
          <w:hyperlink w:anchor="_Toc263943198" w:history="1">
            <w:r w:rsidR="00735FDC" w:rsidRPr="00B841A0">
              <w:rPr>
                <w:rStyle w:val="Hyperlink"/>
                <w:noProof/>
              </w:rPr>
              <w:t>Economic Impacts of Carsharing</w:t>
            </w:r>
            <w:r w:rsidR="00735FDC">
              <w:rPr>
                <w:noProof/>
                <w:webHidden/>
              </w:rPr>
              <w:tab/>
            </w:r>
            <w:r w:rsidR="00735FDC">
              <w:rPr>
                <w:rStyle w:val="Hyperlink"/>
                <w:noProof/>
                <w:rtl/>
              </w:rPr>
              <w:fldChar w:fldCharType="begin"/>
            </w:r>
            <w:r w:rsidR="00735FDC">
              <w:rPr>
                <w:noProof/>
                <w:webHidden/>
              </w:rPr>
              <w:instrText xml:space="preserve"> PAGEREF _Toc263943198 \h </w:instrText>
            </w:r>
            <w:r w:rsidR="00735FDC">
              <w:rPr>
                <w:rStyle w:val="Hyperlink"/>
                <w:noProof/>
                <w:rtl/>
              </w:rPr>
            </w:r>
            <w:r w:rsidR="00735FDC">
              <w:rPr>
                <w:rStyle w:val="Hyperlink"/>
                <w:noProof/>
                <w:rtl/>
              </w:rPr>
              <w:fldChar w:fldCharType="separate"/>
            </w:r>
            <w:r w:rsidR="00D67681">
              <w:rPr>
                <w:noProof/>
                <w:webHidden/>
              </w:rPr>
              <w:t>8</w:t>
            </w:r>
            <w:r w:rsidR="00735FDC">
              <w:rPr>
                <w:rStyle w:val="Hyperlink"/>
                <w:noProof/>
                <w:rtl/>
              </w:rPr>
              <w:fldChar w:fldCharType="end"/>
            </w:r>
          </w:hyperlink>
        </w:p>
        <w:p w:rsidR="00735FDC" w:rsidRDefault="00C64E65">
          <w:pPr>
            <w:pStyle w:val="TOC1"/>
            <w:tabs>
              <w:tab w:val="right" w:leader="dot" w:pos="9962"/>
            </w:tabs>
            <w:rPr>
              <w:rFonts w:asciiTheme="minorHAnsi" w:eastAsiaTheme="minorEastAsia" w:hAnsiTheme="minorHAnsi"/>
              <w:noProof/>
              <w:kern w:val="0"/>
              <w:sz w:val="22"/>
              <w:szCs w:val="22"/>
              <w:lang w:eastAsia="en-US"/>
            </w:rPr>
          </w:pPr>
          <w:hyperlink w:anchor="_Toc263943199" w:history="1">
            <w:r w:rsidR="00735FDC" w:rsidRPr="00B841A0">
              <w:rPr>
                <w:rStyle w:val="Hyperlink"/>
                <w:noProof/>
              </w:rPr>
              <w:t>Why is Carsharing Ecological?</w:t>
            </w:r>
            <w:r w:rsidR="00735FDC">
              <w:rPr>
                <w:noProof/>
                <w:webHidden/>
              </w:rPr>
              <w:tab/>
            </w:r>
            <w:r w:rsidR="00735FDC">
              <w:rPr>
                <w:rStyle w:val="Hyperlink"/>
                <w:noProof/>
                <w:rtl/>
              </w:rPr>
              <w:fldChar w:fldCharType="begin"/>
            </w:r>
            <w:r w:rsidR="00735FDC">
              <w:rPr>
                <w:noProof/>
                <w:webHidden/>
              </w:rPr>
              <w:instrText xml:space="preserve"> PAGEREF _Toc263943199 \h </w:instrText>
            </w:r>
            <w:r w:rsidR="00735FDC">
              <w:rPr>
                <w:rStyle w:val="Hyperlink"/>
                <w:noProof/>
                <w:rtl/>
              </w:rPr>
            </w:r>
            <w:r w:rsidR="00735FDC">
              <w:rPr>
                <w:rStyle w:val="Hyperlink"/>
                <w:noProof/>
                <w:rtl/>
              </w:rPr>
              <w:fldChar w:fldCharType="separate"/>
            </w:r>
            <w:r w:rsidR="00D67681">
              <w:rPr>
                <w:noProof/>
                <w:webHidden/>
              </w:rPr>
              <w:t>8</w:t>
            </w:r>
            <w:r w:rsidR="00735FDC">
              <w:rPr>
                <w:rStyle w:val="Hyperlink"/>
                <w:noProof/>
                <w:rtl/>
              </w:rPr>
              <w:fldChar w:fldCharType="end"/>
            </w:r>
          </w:hyperlink>
        </w:p>
        <w:p w:rsidR="00735FDC" w:rsidRDefault="00C64E65">
          <w:pPr>
            <w:pStyle w:val="TOC1"/>
            <w:tabs>
              <w:tab w:val="right" w:leader="dot" w:pos="9962"/>
            </w:tabs>
            <w:rPr>
              <w:rFonts w:asciiTheme="minorHAnsi" w:eastAsiaTheme="minorEastAsia" w:hAnsiTheme="minorHAnsi"/>
              <w:noProof/>
              <w:kern w:val="0"/>
              <w:sz w:val="22"/>
              <w:szCs w:val="22"/>
              <w:lang w:eastAsia="en-US"/>
            </w:rPr>
          </w:pPr>
          <w:hyperlink w:anchor="_Toc263943200" w:history="1">
            <w:r w:rsidR="00735FDC" w:rsidRPr="00B841A0">
              <w:rPr>
                <w:rStyle w:val="Hyperlink"/>
                <w:noProof/>
              </w:rPr>
              <w:t>Israeli aspects</w:t>
            </w:r>
            <w:r w:rsidR="00735FDC">
              <w:rPr>
                <w:noProof/>
                <w:webHidden/>
              </w:rPr>
              <w:tab/>
            </w:r>
            <w:r w:rsidR="00735FDC">
              <w:rPr>
                <w:rStyle w:val="Hyperlink"/>
                <w:noProof/>
                <w:rtl/>
              </w:rPr>
              <w:fldChar w:fldCharType="begin"/>
            </w:r>
            <w:r w:rsidR="00735FDC">
              <w:rPr>
                <w:noProof/>
                <w:webHidden/>
              </w:rPr>
              <w:instrText xml:space="preserve"> PAGEREF _Toc263943200 \h </w:instrText>
            </w:r>
            <w:r w:rsidR="00735FDC">
              <w:rPr>
                <w:rStyle w:val="Hyperlink"/>
                <w:noProof/>
                <w:rtl/>
              </w:rPr>
            </w:r>
            <w:r w:rsidR="00735FDC">
              <w:rPr>
                <w:rStyle w:val="Hyperlink"/>
                <w:noProof/>
                <w:rtl/>
              </w:rPr>
              <w:fldChar w:fldCharType="separate"/>
            </w:r>
            <w:r w:rsidR="00D67681">
              <w:rPr>
                <w:noProof/>
                <w:webHidden/>
              </w:rPr>
              <w:t>12</w:t>
            </w:r>
            <w:r w:rsidR="00735FDC">
              <w:rPr>
                <w:rStyle w:val="Hyperlink"/>
                <w:noProof/>
                <w:rtl/>
              </w:rPr>
              <w:fldChar w:fldCharType="end"/>
            </w:r>
          </w:hyperlink>
        </w:p>
        <w:p w:rsidR="00735FDC" w:rsidRDefault="00C64E65">
          <w:pPr>
            <w:pStyle w:val="TOC1"/>
            <w:tabs>
              <w:tab w:val="right" w:leader="dot" w:pos="9962"/>
            </w:tabs>
            <w:rPr>
              <w:rFonts w:asciiTheme="minorHAnsi" w:eastAsiaTheme="minorEastAsia" w:hAnsiTheme="minorHAnsi"/>
              <w:noProof/>
              <w:kern w:val="0"/>
              <w:sz w:val="22"/>
              <w:szCs w:val="22"/>
              <w:lang w:eastAsia="en-US"/>
            </w:rPr>
          </w:pPr>
          <w:hyperlink w:anchor="_Toc263943201" w:history="1">
            <w:r w:rsidR="00735FDC" w:rsidRPr="00B841A0">
              <w:rPr>
                <w:rStyle w:val="Hyperlink"/>
                <w:noProof/>
              </w:rPr>
              <w:t>Comparison of the Cost Structure of Carsharing Providers</w:t>
            </w:r>
            <w:r w:rsidR="00735FDC">
              <w:rPr>
                <w:noProof/>
                <w:webHidden/>
              </w:rPr>
              <w:tab/>
            </w:r>
            <w:r w:rsidR="00735FDC">
              <w:rPr>
                <w:rStyle w:val="Hyperlink"/>
                <w:noProof/>
                <w:rtl/>
              </w:rPr>
              <w:fldChar w:fldCharType="begin"/>
            </w:r>
            <w:r w:rsidR="00735FDC">
              <w:rPr>
                <w:noProof/>
                <w:webHidden/>
              </w:rPr>
              <w:instrText xml:space="preserve"> PAGEREF _Toc263943201 \h </w:instrText>
            </w:r>
            <w:r w:rsidR="00735FDC">
              <w:rPr>
                <w:rStyle w:val="Hyperlink"/>
                <w:noProof/>
                <w:rtl/>
              </w:rPr>
            </w:r>
            <w:r w:rsidR="00735FDC">
              <w:rPr>
                <w:rStyle w:val="Hyperlink"/>
                <w:noProof/>
                <w:rtl/>
              </w:rPr>
              <w:fldChar w:fldCharType="separate"/>
            </w:r>
            <w:r w:rsidR="00D67681">
              <w:rPr>
                <w:noProof/>
                <w:webHidden/>
              </w:rPr>
              <w:t>13</w:t>
            </w:r>
            <w:r w:rsidR="00735FDC">
              <w:rPr>
                <w:rStyle w:val="Hyperlink"/>
                <w:noProof/>
                <w:rtl/>
              </w:rPr>
              <w:fldChar w:fldCharType="end"/>
            </w:r>
          </w:hyperlink>
        </w:p>
        <w:p w:rsidR="00735FDC" w:rsidRDefault="00C64E65">
          <w:pPr>
            <w:pStyle w:val="TOC1"/>
            <w:tabs>
              <w:tab w:val="right" w:leader="dot" w:pos="9962"/>
            </w:tabs>
            <w:rPr>
              <w:rFonts w:asciiTheme="minorHAnsi" w:eastAsiaTheme="minorEastAsia" w:hAnsiTheme="minorHAnsi"/>
              <w:noProof/>
              <w:kern w:val="0"/>
              <w:sz w:val="22"/>
              <w:szCs w:val="22"/>
              <w:lang w:eastAsia="en-US"/>
            </w:rPr>
          </w:pPr>
          <w:hyperlink w:anchor="_Toc263943202" w:history="1">
            <w:r w:rsidR="00735FDC" w:rsidRPr="00B841A0">
              <w:rPr>
                <w:rStyle w:val="Hyperlink"/>
                <w:noProof/>
              </w:rPr>
              <w:t>Methodology</w:t>
            </w:r>
            <w:r w:rsidR="00735FDC">
              <w:rPr>
                <w:noProof/>
                <w:webHidden/>
              </w:rPr>
              <w:tab/>
            </w:r>
            <w:r w:rsidR="00735FDC">
              <w:rPr>
                <w:rStyle w:val="Hyperlink"/>
                <w:noProof/>
                <w:rtl/>
              </w:rPr>
              <w:fldChar w:fldCharType="begin"/>
            </w:r>
            <w:r w:rsidR="00735FDC">
              <w:rPr>
                <w:noProof/>
                <w:webHidden/>
              </w:rPr>
              <w:instrText xml:space="preserve"> PAGEREF _Toc263943202 \h </w:instrText>
            </w:r>
            <w:r w:rsidR="00735FDC">
              <w:rPr>
                <w:rStyle w:val="Hyperlink"/>
                <w:noProof/>
                <w:rtl/>
              </w:rPr>
            </w:r>
            <w:r w:rsidR="00735FDC">
              <w:rPr>
                <w:rStyle w:val="Hyperlink"/>
                <w:noProof/>
                <w:rtl/>
              </w:rPr>
              <w:fldChar w:fldCharType="separate"/>
            </w:r>
            <w:r w:rsidR="00D67681">
              <w:rPr>
                <w:noProof/>
                <w:webHidden/>
              </w:rPr>
              <w:t>15</w:t>
            </w:r>
            <w:r w:rsidR="00735FDC">
              <w:rPr>
                <w:rStyle w:val="Hyperlink"/>
                <w:noProof/>
                <w:rtl/>
              </w:rPr>
              <w:fldChar w:fldCharType="end"/>
            </w:r>
          </w:hyperlink>
        </w:p>
        <w:p w:rsidR="00735FDC" w:rsidRDefault="00C64E65">
          <w:pPr>
            <w:pStyle w:val="TOC1"/>
            <w:tabs>
              <w:tab w:val="right" w:leader="dot" w:pos="9962"/>
            </w:tabs>
            <w:rPr>
              <w:rFonts w:asciiTheme="minorHAnsi" w:eastAsiaTheme="minorEastAsia" w:hAnsiTheme="minorHAnsi"/>
              <w:noProof/>
              <w:kern w:val="0"/>
              <w:sz w:val="22"/>
              <w:szCs w:val="22"/>
              <w:lang w:eastAsia="en-US"/>
            </w:rPr>
          </w:pPr>
          <w:hyperlink w:anchor="_Toc263943203" w:history="1">
            <w:r w:rsidR="00735FDC" w:rsidRPr="00B841A0">
              <w:rPr>
                <w:rStyle w:val="Hyperlink"/>
                <w:noProof/>
              </w:rPr>
              <w:t>Data sources:</w:t>
            </w:r>
            <w:r w:rsidR="00735FDC">
              <w:rPr>
                <w:noProof/>
                <w:webHidden/>
              </w:rPr>
              <w:tab/>
            </w:r>
            <w:r w:rsidR="00735FDC">
              <w:rPr>
                <w:rStyle w:val="Hyperlink"/>
                <w:noProof/>
                <w:rtl/>
              </w:rPr>
              <w:fldChar w:fldCharType="begin"/>
            </w:r>
            <w:r w:rsidR="00735FDC">
              <w:rPr>
                <w:noProof/>
                <w:webHidden/>
              </w:rPr>
              <w:instrText xml:space="preserve"> PAGEREF _Toc263943203 \h </w:instrText>
            </w:r>
            <w:r w:rsidR="00735FDC">
              <w:rPr>
                <w:rStyle w:val="Hyperlink"/>
                <w:noProof/>
                <w:rtl/>
              </w:rPr>
            </w:r>
            <w:r w:rsidR="00735FDC">
              <w:rPr>
                <w:rStyle w:val="Hyperlink"/>
                <w:noProof/>
                <w:rtl/>
              </w:rPr>
              <w:fldChar w:fldCharType="separate"/>
            </w:r>
            <w:r w:rsidR="00D67681">
              <w:rPr>
                <w:noProof/>
                <w:webHidden/>
              </w:rPr>
              <w:t>15</w:t>
            </w:r>
            <w:r w:rsidR="00735FDC">
              <w:rPr>
                <w:rStyle w:val="Hyperlink"/>
                <w:noProof/>
                <w:rtl/>
              </w:rPr>
              <w:fldChar w:fldCharType="end"/>
            </w:r>
          </w:hyperlink>
        </w:p>
        <w:p w:rsidR="00735FDC" w:rsidRDefault="00C64E65">
          <w:pPr>
            <w:pStyle w:val="TOC1"/>
            <w:tabs>
              <w:tab w:val="right" w:leader="dot" w:pos="9962"/>
            </w:tabs>
            <w:rPr>
              <w:rFonts w:asciiTheme="minorHAnsi" w:eastAsiaTheme="minorEastAsia" w:hAnsiTheme="minorHAnsi"/>
              <w:noProof/>
              <w:kern w:val="0"/>
              <w:sz w:val="22"/>
              <w:szCs w:val="22"/>
              <w:lang w:eastAsia="en-US"/>
            </w:rPr>
          </w:pPr>
          <w:hyperlink w:anchor="_Toc263943204" w:history="1">
            <w:r w:rsidR="00735FDC" w:rsidRPr="00B841A0">
              <w:rPr>
                <w:rStyle w:val="Hyperlink"/>
                <w:noProof/>
              </w:rPr>
              <w:t>Results</w:t>
            </w:r>
            <w:r w:rsidR="00735FDC">
              <w:rPr>
                <w:noProof/>
                <w:webHidden/>
              </w:rPr>
              <w:tab/>
            </w:r>
            <w:r w:rsidR="00735FDC">
              <w:rPr>
                <w:rStyle w:val="Hyperlink"/>
                <w:noProof/>
                <w:rtl/>
              </w:rPr>
              <w:fldChar w:fldCharType="begin"/>
            </w:r>
            <w:r w:rsidR="00735FDC">
              <w:rPr>
                <w:noProof/>
                <w:webHidden/>
              </w:rPr>
              <w:instrText xml:space="preserve"> PAGEREF _Toc263943204 \h </w:instrText>
            </w:r>
            <w:r w:rsidR="00735FDC">
              <w:rPr>
                <w:rStyle w:val="Hyperlink"/>
                <w:noProof/>
                <w:rtl/>
              </w:rPr>
            </w:r>
            <w:r w:rsidR="00735FDC">
              <w:rPr>
                <w:rStyle w:val="Hyperlink"/>
                <w:noProof/>
                <w:rtl/>
              </w:rPr>
              <w:fldChar w:fldCharType="separate"/>
            </w:r>
            <w:r w:rsidR="00D67681">
              <w:rPr>
                <w:noProof/>
                <w:webHidden/>
              </w:rPr>
              <w:t>20</w:t>
            </w:r>
            <w:r w:rsidR="00735FDC">
              <w:rPr>
                <w:rStyle w:val="Hyperlink"/>
                <w:noProof/>
                <w:rtl/>
              </w:rPr>
              <w:fldChar w:fldCharType="end"/>
            </w:r>
          </w:hyperlink>
        </w:p>
        <w:p w:rsidR="00735FDC" w:rsidRDefault="00C64E65">
          <w:pPr>
            <w:pStyle w:val="TOC1"/>
            <w:tabs>
              <w:tab w:val="right" w:leader="dot" w:pos="9962"/>
            </w:tabs>
            <w:rPr>
              <w:rFonts w:asciiTheme="minorHAnsi" w:eastAsiaTheme="minorEastAsia" w:hAnsiTheme="minorHAnsi"/>
              <w:noProof/>
              <w:kern w:val="0"/>
              <w:sz w:val="22"/>
              <w:szCs w:val="22"/>
              <w:lang w:eastAsia="en-US"/>
            </w:rPr>
          </w:pPr>
          <w:hyperlink w:anchor="_Toc263943205" w:history="1">
            <w:r w:rsidR="00735FDC" w:rsidRPr="00B841A0">
              <w:rPr>
                <w:rStyle w:val="Hyperlink"/>
                <w:noProof/>
              </w:rPr>
              <w:t>Conclusion</w:t>
            </w:r>
            <w:r w:rsidR="00735FDC">
              <w:rPr>
                <w:noProof/>
                <w:webHidden/>
              </w:rPr>
              <w:tab/>
            </w:r>
            <w:r w:rsidR="00735FDC">
              <w:rPr>
                <w:rStyle w:val="Hyperlink"/>
                <w:noProof/>
                <w:rtl/>
              </w:rPr>
              <w:fldChar w:fldCharType="begin"/>
            </w:r>
            <w:r w:rsidR="00735FDC">
              <w:rPr>
                <w:noProof/>
                <w:webHidden/>
              </w:rPr>
              <w:instrText xml:space="preserve"> PAGEREF _Toc263943205 \h </w:instrText>
            </w:r>
            <w:r w:rsidR="00735FDC">
              <w:rPr>
                <w:rStyle w:val="Hyperlink"/>
                <w:noProof/>
                <w:rtl/>
              </w:rPr>
            </w:r>
            <w:r w:rsidR="00735FDC">
              <w:rPr>
                <w:rStyle w:val="Hyperlink"/>
                <w:noProof/>
                <w:rtl/>
              </w:rPr>
              <w:fldChar w:fldCharType="separate"/>
            </w:r>
            <w:r w:rsidR="00D67681">
              <w:rPr>
                <w:noProof/>
                <w:webHidden/>
              </w:rPr>
              <w:t>27</w:t>
            </w:r>
            <w:r w:rsidR="00735FDC">
              <w:rPr>
                <w:rStyle w:val="Hyperlink"/>
                <w:noProof/>
                <w:rtl/>
              </w:rPr>
              <w:fldChar w:fldCharType="end"/>
            </w:r>
          </w:hyperlink>
        </w:p>
        <w:p w:rsidR="00735FDC" w:rsidRDefault="00C64E65">
          <w:pPr>
            <w:pStyle w:val="TOC1"/>
            <w:tabs>
              <w:tab w:val="right" w:leader="dot" w:pos="9962"/>
            </w:tabs>
            <w:rPr>
              <w:rFonts w:asciiTheme="minorHAnsi" w:eastAsiaTheme="minorEastAsia" w:hAnsiTheme="minorHAnsi"/>
              <w:noProof/>
              <w:kern w:val="0"/>
              <w:sz w:val="22"/>
              <w:szCs w:val="22"/>
              <w:lang w:eastAsia="en-US"/>
            </w:rPr>
          </w:pPr>
          <w:hyperlink w:anchor="_Toc263943206" w:history="1">
            <w:r w:rsidR="00735FDC" w:rsidRPr="00B841A0">
              <w:rPr>
                <w:rStyle w:val="Hyperlink"/>
                <w:noProof/>
              </w:rPr>
              <w:t>Appendix 1 : Scenario Overview</w:t>
            </w:r>
            <w:r w:rsidR="00735FDC">
              <w:rPr>
                <w:noProof/>
                <w:webHidden/>
              </w:rPr>
              <w:tab/>
            </w:r>
            <w:r w:rsidR="00735FDC">
              <w:rPr>
                <w:rStyle w:val="Hyperlink"/>
                <w:noProof/>
                <w:rtl/>
              </w:rPr>
              <w:fldChar w:fldCharType="begin"/>
            </w:r>
            <w:r w:rsidR="00735FDC">
              <w:rPr>
                <w:noProof/>
                <w:webHidden/>
              </w:rPr>
              <w:instrText xml:space="preserve"> PAGEREF _Toc263943206 \h </w:instrText>
            </w:r>
            <w:r w:rsidR="00735FDC">
              <w:rPr>
                <w:rStyle w:val="Hyperlink"/>
                <w:noProof/>
                <w:rtl/>
              </w:rPr>
            </w:r>
            <w:r w:rsidR="00735FDC">
              <w:rPr>
                <w:rStyle w:val="Hyperlink"/>
                <w:noProof/>
                <w:rtl/>
              </w:rPr>
              <w:fldChar w:fldCharType="separate"/>
            </w:r>
            <w:r w:rsidR="00D67681">
              <w:rPr>
                <w:noProof/>
                <w:webHidden/>
              </w:rPr>
              <w:t>28</w:t>
            </w:r>
            <w:r w:rsidR="00735FDC">
              <w:rPr>
                <w:rStyle w:val="Hyperlink"/>
                <w:noProof/>
                <w:rtl/>
              </w:rPr>
              <w:fldChar w:fldCharType="end"/>
            </w:r>
          </w:hyperlink>
        </w:p>
        <w:p w:rsidR="00735FDC" w:rsidRDefault="00C64E65">
          <w:pPr>
            <w:pStyle w:val="TOC1"/>
            <w:tabs>
              <w:tab w:val="right" w:leader="dot" w:pos="9962"/>
            </w:tabs>
            <w:rPr>
              <w:rFonts w:asciiTheme="minorHAnsi" w:eastAsiaTheme="minorEastAsia" w:hAnsiTheme="minorHAnsi"/>
              <w:noProof/>
              <w:kern w:val="0"/>
              <w:sz w:val="22"/>
              <w:szCs w:val="22"/>
              <w:lang w:eastAsia="en-US"/>
            </w:rPr>
          </w:pPr>
          <w:hyperlink w:anchor="_Toc263943207" w:history="1">
            <w:r w:rsidR="00735FDC" w:rsidRPr="00B841A0">
              <w:rPr>
                <w:rStyle w:val="Hyperlink"/>
                <w:noProof/>
              </w:rPr>
              <w:t>Appendix 2: International Carsharing Price Comparison</w:t>
            </w:r>
            <w:r w:rsidR="00735FDC">
              <w:rPr>
                <w:noProof/>
                <w:webHidden/>
              </w:rPr>
              <w:tab/>
            </w:r>
            <w:r w:rsidR="00735FDC">
              <w:rPr>
                <w:rStyle w:val="Hyperlink"/>
                <w:noProof/>
                <w:rtl/>
              </w:rPr>
              <w:fldChar w:fldCharType="begin"/>
            </w:r>
            <w:r w:rsidR="00735FDC">
              <w:rPr>
                <w:noProof/>
                <w:webHidden/>
              </w:rPr>
              <w:instrText xml:space="preserve"> PAGEREF _Toc263943207 \h </w:instrText>
            </w:r>
            <w:r w:rsidR="00735FDC">
              <w:rPr>
                <w:rStyle w:val="Hyperlink"/>
                <w:noProof/>
                <w:rtl/>
              </w:rPr>
            </w:r>
            <w:r w:rsidR="00735FDC">
              <w:rPr>
                <w:rStyle w:val="Hyperlink"/>
                <w:noProof/>
                <w:rtl/>
              </w:rPr>
              <w:fldChar w:fldCharType="separate"/>
            </w:r>
            <w:r w:rsidR="00D67681">
              <w:rPr>
                <w:noProof/>
                <w:webHidden/>
              </w:rPr>
              <w:t>29</w:t>
            </w:r>
            <w:r w:rsidR="00735FDC">
              <w:rPr>
                <w:rStyle w:val="Hyperlink"/>
                <w:noProof/>
                <w:rtl/>
              </w:rPr>
              <w:fldChar w:fldCharType="end"/>
            </w:r>
          </w:hyperlink>
        </w:p>
        <w:p w:rsidR="00735FDC" w:rsidRDefault="00C64E65">
          <w:pPr>
            <w:pStyle w:val="TOC1"/>
            <w:tabs>
              <w:tab w:val="right" w:leader="dot" w:pos="9962"/>
            </w:tabs>
            <w:rPr>
              <w:rFonts w:asciiTheme="minorHAnsi" w:eastAsiaTheme="minorEastAsia" w:hAnsiTheme="minorHAnsi"/>
              <w:noProof/>
              <w:kern w:val="0"/>
              <w:sz w:val="22"/>
              <w:szCs w:val="22"/>
              <w:lang w:eastAsia="en-US"/>
            </w:rPr>
          </w:pPr>
          <w:hyperlink w:anchor="_Toc263943208" w:history="1">
            <w:r w:rsidR="00735FDC" w:rsidRPr="00B841A0">
              <w:rPr>
                <w:rStyle w:val="Hyperlink"/>
                <w:noProof/>
              </w:rPr>
              <w:t>Bibliography</w:t>
            </w:r>
            <w:r w:rsidR="00735FDC">
              <w:rPr>
                <w:noProof/>
                <w:webHidden/>
              </w:rPr>
              <w:tab/>
            </w:r>
            <w:r w:rsidR="00735FDC">
              <w:rPr>
                <w:rStyle w:val="Hyperlink"/>
                <w:noProof/>
                <w:rtl/>
              </w:rPr>
              <w:fldChar w:fldCharType="begin"/>
            </w:r>
            <w:r w:rsidR="00735FDC">
              <w:rPr>
                <w:noProof/>
                <w:webHidden/>
              </w:rPr>
              <w:instrText xml:space="preserve"> PAGEREF _Toc263943208 \h </w:instrText>
            </w:r>
            <w:r w:rsidR="00735FDC">
              <w:rPr>
                <w:rStyle w:val="Hyperlink"/>
                <w:noProof/>
                <w:rtl/>
              </w:rPr>
            </w:r>
            <w:r w:rsidR="00735FDC">
              <w:rPr>
                <w:rStyle w:val="Hyperlink"/>
                <w:noProof/>
                <w:rtl/>
              </w:rPr>
              <w:fldChar w:fldCharType="separate"/>
            </w:r>
            <w:r w:rsidR="00D67681">
              <w:rPr>
                <w:noProof/>
                <w:webHidden/>
              </w:rPr>
              <w:t>30</w:t>
            </w:r>
            <w:r w:rsidR="00735FDC">
              <w:rPr>
                <w:rStyle w:val="Hyperlink"/>
                <w:noProof/>
                <w:rtl/>
              </w:rPr>
              <w:fldChar w:fldCharType="end"/>
            </w:r>
          </w:hyperlink>
        </w:p>
        <w:p w:rsidR="00EE1E0B" w:rsidRDefault="00045553">
          <w:r>
            <w:fldChar w:fldCharType="end"/>
          </w:r>
        </w:p>
      </w:sdtContent>
    </w:sdt>
    <w:p w:rsidR="009B764D" w:rsidRDefault="009B764D">
      <w:pPr>
        <w:widowControl/>
        <w:suppressAutoHyphens w:val="0"/>
        <w:spacing w:line="240" w:lineRule="auto"/>
        <w:jc w:val="left"/>
        <w:rPr>
          <w:rFonts w:asciiTheme="majorHAnsi" w:eastAsiaTheme="majorEastAsia" w:hAnsiTheme="majorHAnsi" w:cstheme="majorBidi"/>
          <w:b/>
          <w:bCs/>
          <w:color w:val="365F91" w:themeColor="accent1" w:themeShade="BF"/>
          <w:sz w:val="28"/>
          <w:szCs w:val="28"/>
        </w:rPr>
      </w:pPr>
      <w:r>
        <w:br w:type="page"/>
      </w:r>
    </w:p>
    <w:p w:rsidR="002B4229" w:rsidRDefault="002B4229" w:rsidP="00E67DB8">
      <w:pPr>
        <w:pStyle w:val="Heading1"/>
      </w:pPr>
      <w:bookmarkStart w:id="3" w:name="_Toc263943196"/>
      <w:r>
        <w:lastRenderedPageBreak/>
        <w:t>Introduction</w:t>
      </w:r>
      <w:bookmarkEnd w:id="3"/>
    </w:p>
    <w:p w:rsidR="002B4229" w:rsidRDefault="003A3DD6" w:rsidP="003A3DD6">
      <w:r>
        <w:t xml:space="preserve">Carsharing organizations offer their members convenient on-demand access to strategically located cars around the clock. Similar to </w:t>
      </w:r>
      <w:r w:rsidR="00A42A42">
        <w:t>cell phone</w:t>
      </w:r>
      <w:r>
        <w:t xml:space="preserve"> providers, different payment schemes exist to cater for rare and extensive users. In general, there is a certain fixed fee for membership, an hourly rental rate as well as a mileage charge. All other costs such as license and registration, insurance, gasoline, depreciation and maintenance are internalized in the above costs. The concept of carsharing saw impressive growth during the last couple of years worldwide</w:t>
      </w:r>
      <w:r w:rsidR="00A42A42">
        <w:rPr>
          <w:rStyle w:val="FootnoteReference"/>
        </w:rPr>
        <w:footnoteReference w:id="1"/>
      </w:r>
      <w:r>
        <w:t xml:space="preserve">. </w:t>
      </w:r>
      <w:r w:rsidR="002B4229">
        <w:t xml:space="preserve">Even though </w:t>
      </w:r>
      <w:r w:rsidR="00443BD2">
        <w:t>carsharing</w:t>
      </w:r>
      <w:r w:rsidR="002B4229">
        <w:t xml:space="preserve"> is still marginal, it is a far cry from </w:t>
      </w:r>
      <w:r w:rsidR="005B3067">
        <w:t>its</w:t>
      </w:r>
      <w:r w:rsidR="002B4229">
        <w:t xml:space="preserve"> early beginnings 20 years ago. </w:t>
      </w:r>
      <w:r w:rsidR="00443BD2">
        <w:t>Carsharing</w:t>
      </w:r>
      <w:r w:rsidR="002B4229">
        <w:t xml:space="preserve"> organizations can be found in most major and many smaller cities in Europe and America. </w:t>
      </w:r>
      <w:r w:rsidR="003B56D7">
        <w:t>They receive much praise from proponents of sustainable transport solutions, sometimes even be</w:t>
      </w:r>
      <w:r w:rsidR="008F3601">
        <w:t xml:space="preserve">ing dubbed the missing link that can overcome service gaps of public </w:t>
      </w:r>
      <w:r w:rsidR="005B3067">
        <w:t>transit</w:t>
      </w:r>
      <w:r w:rsidR="008F3601">
        <w:t xml:space="preserve"> for a lifestyle without car ownership.</w:t>
      </w:r>
      <w:r w:rsidR="008F3601">
        <w:rPr>
          <w:rStyle w:val="FootnoteReference"/>
        </w:rPr>
        <w:footnoteReference w:id="2"/>
      </w:r>
      <w:r w:rsidR="0018077C">
        <w:t xml:space="preserve"> The reduction of vehicle miles travelled is key to achieve numerous environmental benefits, starting from more livable streets and </w:t>
      </w:r>
      <w:proofErr w:type="spellStart"/>
      <w:r w:rsidR="0018077C">
        <w:t>walkable</w:t>
      </w:r>
      <w:proofErr w:type="spellEnd"/>
      <w:r w:rsidR="0018077C">
        <w:t xml:space="preserve"> communities, reduced parking spot demand and up to the reduction of greenhouse gases from </w:t>
      </w:r>
      <w:r w:rsidR="005B3067">
        <w:t>tailpipes</w:t>
      </w:r>
      <w:r w:rsidR="0018077C">
        <w:t xml:space="preserve">. </w:t>
      </w:r>
      <w:r w:rsidR="008F3601">
        <w:t xml:space="preserve">While the literature on the desirability of </w:t>
      </w:r>
      <w:r w:rsidR="00443BD2">
        <w:t>carsharing</w:t>
      </w:r>
      <w:r w:rsidR="008F3601">
        <w:t xml:space="preserve"> is relatively vast, no consensus </w:t>
      </w:r>
      <w:r w:rsidR="005B3067">
        <w:t>has</w:t>
      </w:r>
      <w:r w:rsidR="008F3601">
        <w:t xml:space="preserve"> been found in regard to market p</w:t>
      </w:r>
      <w:r w:rsidR="00E35FA5">
        <w:t xml:space="preserve">otential estimates. </w:t>
      </w:r>
      <w:r w:rsidR="00443BD2">
        <w:t>Carsharing</w:t>
      </w:r>
      <w:r w:rsidR="00E35FA5">
        <w:t xml:space="preserve"> can and often does</w:t>
      </w:r>
      <w:r w:rsidR="00BA507B">
        <w:t xml:space="preserve"> benefit from </w:t>
      </w:r>
      <w:r w:rsidR="00E35FA5">
        <w:t>cooperation with local governments, for instance in receiving designated parking spaces tax rebates</w:t>
      </w:r>
      <w:r w:rsidR="0018077C">
        <w:rPr>
          <w:rStyle w:val="FootnoteReference"/>
        </w:rPr>
        <w:footnoteReference w:id="3"/>
      </w:r>
      <w:r w:rsidR="00E35FA5">
        <w:t>. Useful estimates of market potential are thus necessary</w:t>
      </w:r>
      <w:r w:rsidR="005B3067">
        <w:t xml:space="preserve"> in order to provide decision makers with relevant information</w:t>
      </w:r>
      <w:r w:rsidR="00E35FA5">
        <w:t xml:space="preserve">. </w:t>
      </w:r>
      <w:r w:rsidR="005B3067">
        <w:t xml:space="preserve">Firstly, the environmental benefits of carsharing are reviewed and theoretically explained. Then, previous market potential studies are summarized and discussed. </w:t>
      </w:r>
      <w:r w:rsidR="00E35FA5">
        <w:t xml:space="preserve">This paper adopted the methodology </w:t>
      </w:r>
      <w:r w:rsidR="00BA507B">
        <w:t xml:space="preserve">suggested by Schuster et al. </w:t>
      </w:r>
      <w:r w:rsidR="00E35FA5">
        <w:t xml:space="preserve">in order to statistically estimate what percentage of vehicles would financially benefit from </w:t>
      </w:r>
      <w:r w:rsidR="00443BD2">
        <w:t>carsharing</w:t>
      </w:r>
      <w:r w:rsidR="00BA507B">
        <w:t xml:space="preserve">. </w:t>
      </w:r>
      <w:r w:rsidR="005B3067">
        <w:t>A</w:t>
      </w:r>
      <w:r w:rsidR="00BA507B">
        <w:t xml:space="preserve"> Monte Carlo simulation was applied on Israeli data on car ownership costs as well as the current price plans of Car2Go, the Israeli </w:t>
      </w:r>
      <w:r w:rsidR="00443BD2">
        <w:t>carsharing</w:t>
      </w:r>
      <w:r w:rsidR="00BA507B">
        <w:t xml:space="preserve"> organization. </w:t>
      </w:r>
      <w:r w:rsidR="005B3067">
        <w:t>Different scenarios are analyzed and discussed in the body of the paper.</w:t>
      </w:r>
    </w:p>
    <w:p w:rsidR="00672C0C" w:rsidRDefault="00672C0C" w:rsidP="00672C0C">
      <w:pPr>
        <w:pStyle w:val="Heading1"/>
      </w:pPr>
      <w:bookmarkStart w:id="4" w:name="_Toc263943197"/>
      <w:r>
        <w:lastRenderedPageBreak/>
        <w:t>Literature Review of Market Potential Analyses</w:t>
      </w:r>
      <w:bookmarkEnd w:id="4"/>
    </w:p>
    <w:p w:rsidR="00672C0C" w:rsidRDefault="003A3DD6" w:rsidP="003A3DD6">
      <w:r>
        <w:t>Most early</w:t>
      </w:r>
      <w:r w:rsidR="00672C0C">
        <w:t xml:space="preserve"> market potential studies of carsharing were either based on demographic data or pure mileage</w:t>
      </w:r>
      <w:r>
        <w:t xml:space="preserve"> considerations</w:t>
      </w:r>
      <w:r w:rsidR="00672C0C">
        <w:t>. Demographic approaches identify groups that are specifically prone to consider carsharing, such as young, urban adults with environmental considerations. For exam</w:t>
      </w:r>
      <w:r>
        <w:t xml:space="preserve">ple, </w:t>
      </w:r>
      <w:proofErr w:type="spellStart"/>
      <w:r>
        <w:t>Steininger</w:t>
      </w:r>
      <w:proofErr w:type="spellEnd"/>
      <w:r>
        <w:t xml:space="preserve"> et al. </w:t>
      </w:r>
      <w:r w:rsidRPr="003A3DD6">
        <w:t>(</w:t>
      </w:r>
      <w:r>
        <w:t xml:space="preserve">1996) found </w:t>
      </w:r>
      <w:r w:rsidR="00672C0C">
        <w:t>a minimum market potential of 13.5% of all households</w:t>
      </w:r>
      <w:r>
        <w:t xml:space="preserve"> in Austria</w:t>
      </w:r>
      <w:r w:rsidR="00672C0C">
        <w:t>, based on the number of households that met criteria such as aged between 25 and 40, university educat</w:t>
      </w:r>
      <w:r>
        <w:t>ion</w:t>
      </w:r>
      <w:r w:rsidR="00672C0C">
        <w:t xml:space="preserve">, owning a car from a lower price bracket that is driven less than 15000 km a year and a high share of non-car trips. Based on pure financial considerations, the same study estimated a maximal potential of about 69% of households, since they owned at least one car that was driven less than 15000 km. </w:t>
      </w:r>
    </w:p>
    <w:p w:rsidR="00672C0C" w:rsidRDefault="00672C0C" w:rsidP="003A3DD6">
      <w:r>
        <w:t xml:space="preserve">In their evaluation of Mobility, the world's largest car sharing scheme in Switzerland, </w:t>
      </w:r>
      <w:proofErr w:type="spellStart"/>
      <w:r>
        <w:t>Haefeli</w:t>
      </w:r>
      <w:proofErr w:type="spellEnd"/>
      <w:r>
        <w:t xml:space="preserve"> and </w:t>
      </w:r>
      <w:proofErr w:type="spellStart"/>
      <w:r>
        <w:t>Matti</w:t>
      </w:r>
      <w:proofErr w:type="spellEnd"/>
      <w:r>
        <w:t xml:space="preserve"> </w:t>
      </w:r>
      <w:r w:rsidR="003A3DD6">
        <w:t xml:space="preserve">(2006) </w:t>
      </w:r>
      <w:r>
        <w:t>computed a breakeven of about 8000-9000 km</w:t>
      </w:r>
      <w:r w:rsidR="003A3DD6">
        <w:t>/year</w:t>
      </w:r>
      <w:r>
        <w:t xml:space="preserve">. Their estimates were </w:t>
      </w:r>
      <w:r w:rsidR="003A3DD6">
        <w:t>low</w:t>
      </w:r>
      <w:r>
        <w:t xml:space="preserve">, </w:t>
      </w:r>
      <w:r w:rsidR="003A3DD6">
        <w:t xml:space="preserve">compared to </w:t>
      </w:r>
      <w:proofErr w:type="spellStart"/>
      <w:r w:rsidR="003A3DD6">
        <w:t>Muheim</w:t>
      </w:r>
      <w:proofErr w:type="spellEnd"/>
      <w:r w:rsidR="003A3DD6">
        <w:t xml:space="preserve"> </w:t>
      </w:r>
      <w:r w:rsidR="003A3DD6" w:rsidRPr="003A3DD6">
        <w:t>(</w:t>
      </w:r>
      <w:r w:rsidR="003A3DD6">
        <w:t>1998) who found that</w:t>
      </w:r>
      <w:r>
        <w:t xml:space="preserve"> 23% of the </w:t>
      </w:r>
      <w:r w:rsidR="003A3DD6">
        <w:t xml:space="preserve">Swiss </w:t>
      </w:r>
      <w:proofErr w:type="gramStart"/>
      <w:r w:rsidR="003A3DD6">
        <w:t>population are</w:t>
      </w:r>
      <w:proofErr w:type="gramEnd"/>
      <w:r w:rsidR="003A3DD6">
        <w:t xml:space="preserve"> potential carsharing clients</w:t>
      </w:r>
      <w:r>
        <w:t>, based on homes located in communities with more than 2000 inhabitants and journeys to work that would not be lengthened by more than 30 minutes</w:t>
      </w:r>
      <w:r w:rsidR="003A3DD6">
        <w:t xml:space="preserve"> if undertaken by public transit</w:t>
      </w:r>
      <w:r>
        <w:t>.</w:t>
      </w:r>
      <w:r>
        <w:rPr>
          <w:rStyle w:val="FootnoteReference"/>
        </w:rPr>
        <w:footnoteReference w:id="4"/>
      </w:r>
    </w:p>
    <w:p w:rsidR="00672C0C" w:rsidRDefault="00672C0C" w:rsidP="003A3DD6">
      <w:r>
        <w:t>Some of the studies used surveys in order to identify the characteristics of the current users, and then projected the findings on the total population that is using carsharing services</w:t>
      </w:r>
      <w:r w:rsidR="003A3DD6">
        <w:rPr>
          <w:rStyle w:val="FootnoteReference"/>
        </w:rPr>
        <w:footnoteReference w:id="5"/>
      </w:r>
      <w:r>
        <w:t>.</w:t>
      </w:r>
      <w:r w:rsidR="003A3DD6" w:rsidRPr="003A3DD6">
        <w:rPr>
          <w:rStyle w:val="FootnoteReference"/>
        </w:rPr>
        <w:t xml:space="preserve"> </w:t>
      </w:r>
      <w:r>
        <w:t>Most of the survey</w:t>
      </w:r>
      <w:r w:rsidR="003A3DD6">
        <w:t>s</w:t>
      </w:r>
      <w:r>
        <w:t xml:space="preserve"> found that some of the major motivations for joining a carsharing service were financial and convenience considerations, while environmental and social considerations were minor or even marginal. </w:t>
      </w:r>
    </w:p>
    <w:p w:rsidR="00672C0C" w:rsidRDefault="00672C0C" w:rsidP="00BE0316">
      <w:r>
        <w:t xml:space="preserve">A late and rather sophisticated attempt to measure potential is described in </w:t>
      </w:r>
      <w:proofErr w:type="spellStart"/>
      <w:r>
        <w:t>Celsor</w:t>
      </w:r>
      <w:proofErr w:type="spellEnd"/>
      <w:r>
        <w:t xml:space="preserve"> </w:t>
      </w:r>
      <w:proofErr w:type="gramStart"/>
      <w:r>
        <w:t>et</w:t>
      </w:r>
      <w:proofErr w:type="gramEnd"/>
      <w:r>
        <w:t xml:space="preserve">. </w:t>
      </w:r>
      <w:proofErr w:type="gramStart"/>
      <w:r>
        <w:t>al</w:t>
      </w:r>
      <w:proofErr w:type="gramEnd"/>
      <w:r>
        <w:t>,</w:t>
      </w:r>
      <w:r w:rsidR="003A3DD6">
        <w:t xml:space="preserve"> (2007)</w:t>
      </w:r>
      <w:r>
        <w:t xml:space="preserve"> who use a GIS-based approach that includes various geographical elements such as density and socio-economic elements such as motorization </w:t>
      </w:r>
      <w:r w:rsidR="00BE0316">
        <w:t xml:space="preserve">rates </w:t>
      </w:r>
      <w:r>
        <w:t xml:space="preserve">and household size. As a result, they </w:t>
      </w:r>
      <w:r w:rsidR="00BE0316">
        <w:t>point to</w:t>
      </w:r>
      <w:r>
        <w:t xml:space="preserve"> </w:t>
      </w:r>
      <w:r>
        <w:lastRenderedPageBreak/>
        <w:t>neighborhoods with a minimum potential and a high potential for carsharing.</w:t>
      </w:r>
      <w:r>
        <w:rPr>
          <w:rStyle w:val="FootnoteReference"/>
        </w:rPr>
        <w:footnoteReference w:id="6"/>
      </w:r>
    </w:p>
    <w:p w:rsidR="00672C0C" w:rsidRDefault="00BE0316" w:rsidP="00BE0316">
      <w:r>
        <w:t>The e</w:t>
      </w:r>
      <w:r w:rsidR="00672C0C">
        <w:t xml:space="preserve">arly </w:t>
      </w:r>
      <w:r>
        <w:t>methods of calculating a minimum mileage are</w:t>
      </w:r>
      <w:r w:rsidR="00672C0C">
        <w:t xml:space="preserve"> highly limited, since </w:t>
      </w:r>
      <w:r>
        <w:t>they do</w:t>
      </w:r>
      <w:r w:rsidR="00672C0C">
        <w:t xml:space="preserve"> not take into account the most common carsharing pricing model, where the customer pays by the hour and the mile. Schuster et al. </w:t>
      </w:r>
      <w:r>
        <w:t xml:space="preserve">(2005) </w:t>
      </w:r>
      <w:r w:rsidR="00672C0C">
        <w:t xml:space="preserve">presented a methodology that adds two new dimensions to this simple equation: total trip time and different </w:t>
      </w:r>
      <w:r>
        <w:t>purchasing costs of</w:t>
      </w:r>
      <w:r w:rsidR="00672C0C">
        <w:t xml:space="preserve"> cars. </w:t>
      </w:r>
      <w:r>
        <w:t>They calculated that yearly costs for 4.15% of all vehicles in Baltimore would be cheaper if the current journeys would be undertaken with shared cars rather than privately owned ones. Their methodology served as the base for this paper and will be described in more detail below.</w:t>
      </w:r>
    </w:p>
    <w:p w:rsidR="002B4229" w:rsidRDefault="00BA507B" w:rsidP="00E67DB8">
      <w:pPr>
        <w:pStyle w:val="Heading1"/>
      </w:pPr>
      <w:bookmarkStart w:id="5" w:name="_Toc263943198"/>
      <w:r>
        <w:t xml:space="preserve">Economic Impacts of </w:t>
      </w:r>
      <w:r w:rsidR="00443BD2">
        <w:t>Carsharing</w:t>
      </w:r>
      <w:bookmarkEnd w:id="5"/>
    </w:p>
    <w:p w:rsidR="002B4229" w:rsidRDefault="002B4229" w:rsidP="00E026AC">
      <w:r>
        <w:t xml:space="preserve">The cost structure of car ownership and </w:t>
      </w:r>
      <w:r w:rsidR="00443BD2">
        <w:t>carsharing</w:t>
      </w:r>
      <w:r>
        <w:t xml:space="preserve"> is inherently different. Over a given period, a car owner </w:t>
      </w:r>
      <w:r w:rsidR="00BA507B">
        <w:t>pays</w:t>
      </w:r>
      <w:r>
        <w:t xml:space="preserve"> high fixed costs </w:t>
      </w:r>
      <w:r w:rsidR="00BA507B">
        <w:t>such as</w:t>
      </w:r>
      <w:r>
        <w:t xml:space="preserve"> depreciation, </w:t>
      </w:r>
      <w:r w:rsidR="00BA507B">
        <w:t xml:space="preserve">financing, </w:t>
      </w:r>
      <w:r>
        <w:t xml:space="preserve">insurance and registration. Repairs and changing parts </w:t>
      </w:r>
      <w:r w:rsidR="00E026AC">
        <w:t>may</w:t>
      </w:r>
      <w:r>
        <w:t xml:space="preserve"> also be considered fixed costs. The marginal cost per kilometer thus consists only of gasoline expenses, and is relatively low.</w:t>
      </w:r>
      <w:r w:rsidR="00BA507B">
        <w:t xml:space="preserve"> In fact, for a representative Israeli car gas constituted only about 30% of costs.</w:t>
      </w:r>
      <w:r w:rsidR="00BA507B">
        <w:rPr>
          <w:rStyle w:val="FootnoteReference"/>
        </w:rPr>
        <w:footnoteReference w:id="7"/>
      </w:r>
    </w:p>
    <w:p w:rsidR="002B4229" w:rsidRDefault="002B4229" w:rsidP="00843D6E">
      <w:r>
        <w:t xml:space="preserve">The marginal price of a kilometer with a shared car internalizes the full yearly costs of the vehicle. This difference has </w:t>
      </w:r>
      <w:r w:rsidR="00843D6E">
        <w:t>considerable</w:t>
      </w:r>
      <w:r>
        <w:t xml:space="preserve"> effects on th</w:t>
      </w:r>
      <w:r w:rsidR="00E026AC">
        <w:t>e chosen mode of transportation and lies at the heart of its environmental desirability.</w:t>
      </w:r>
    </w:p>
    <w:p w:rsidR="002B4229" w:rsidRDefault="002B4229" w:rsidP="00E67DB8">
      <w:pPr>
        <w:pStyle w:val="Heading1"/>
      </w:pPr>
      <w:bookmarkStart w:id="6" w:name="_Toc263943199"/>
      <w:r>
        <w:t xml:space="preserve">Why is </w:t>
      </w:r>
      <w:r w:rsidR="00E026AC">
        <w:t>C</w:t>
      </w:r>
      <w:r w:rsidR="00443BD2">
        <w:t>arsharing</w:t>
      </w:r>
      <w:r w:rsidR="00E026AC">
        <w:t xml:space="preserve"> E</w:t>
      </w:r>
      <w:r>
        <w:t>cological?</w:t>
      </w:r>
      <w:bookmarkEnd w:id="6"/>
    </w:p>
    <w:p w:rsidR="002B4229" w:rsidRDefault="00443BD2" w:rsidP="00E026AC">
      <w:r>
        <w:t>Carsharing</w:t>
      </w:r>
      <w:r w:rsidR="002B4229">
        <w:t xml:space="preserve"> might not seem environmental at first sight. After all, what does it matter if a given car driving and polluting on the road is owned or shared by its driver? </w:t>
      </w:r>
      <w:r w:rsidR="00843D6E">
        <w:t xml:space="preserve">In order to </w:t>
      </w:r>
      <w:r w:rsidR="00E026AC">
        <w:t>understand</w:t>
      </w:r>
      <w:r w:rsidR="00843D6E">
        <w:t xml:space="preserve"> the environmental aspect of </w:t>
      </w:r>
      <w:r>
        <w:t>carsharing</w:t>
      </w:r>
      <w:r w:rsidR="00843D6E">
        <w:t>, one must take</w:t>
      </w:r>
      <w:r w:rsidR="002B4229">
        <w:t xml:space="preserve"> into account the different price distribution described above.</w:t>
      </w:r>
    </w:p>
    <w:p w:rsidR="002B4229" w:rsidRDefault="002B4229" w:rsidP="00E026AC">
      <w:r>
        <w:lastRenderedPageBreak/>
        <w:t xml:space="preserve">Assume an individual that </w:t>
      </w:r>
      <w:r w:rsidR="00843D6E">
        <w:t>chooses</w:t>
      </w:r>
      <w:r>
        <w:t xml:space="preserve"> the mode of transportation before every trip according to the </w:t>
      </w:r>
      <w:r w:rsidR="00E026AC">
        <w:t>minimal</w:t>
      </w:r>
      <w:r>
        <w:t xml:space="preserve"> cost</w:t>
      </w:r>
      <w:r w:rsidR="00E026AC">
        <w:t>, as outlined in the following equation.</w:t>
      </w:r>
    </w:p>
    <w:p w:rsidR="002B4229" w:rsidRDefault="002B4229">
      <w:r>
        <w:object w:dxaOrig="7839" w:dyaOrig="273">
          <v:shape id="_x0000_i1026" type="#_x0000_t75" style="width:391.2pt;height:13.6pt" o:ole="" filled="t">
            <v:fill color2="black"/>
            <v:imagedata r:id="rId14" o:title=""/>
          </v:shape>
          <o:OLEObject Type="Embed" ProgID="Equation.3" ShapeID="_x0000_i1026" DrawAspect="Content" ObjectID="_1343999962" r:id="rId15"/>
        </w:object>
      </w:r>
    </w:p>
    <w:p w:rsidR="00843D6E" w:rsidRPr="00F51717" w:rsidRDefault="00843D6E" w:rsidP="00843D6E">
      <w:pPr>
        <w:spacing w:line="240" w:lineRule="auto"/>
      </w:pPr>
      <w:r>
        <w:t>Where TC</w:t>
      </w:r>
      <w:r w:rsidRPr="00F51717">
        <w:t xml:space="preserve"> = Total cost</w:t>
      </w:r>
    </w:p>
    <w:p w:rsidR="00843D6E" w:rsidRPr="00843D6E" w:rsidRDefault="00843D6E" w:rsidP="00843D6E">
      <w:pPr>
        <w:spacing w:line="240" w:lineRule="auto"/>
      </w:pPr>
      <w:r w:rsidRPr="00F51717">
        <w:tab/>
      </w:r>
      <w:r w:rsidRPr="00843D6E">
        <w:t>MC = Marginal cost</w:t>
      </w:r>
    </w:p>
    <w:p w:rsidR="002B4229" w:rsidRDefault="002B4229" w:rsidP="000A11C4">
      <w:r>
        <w:t xml:space="preserve">If she is a car owner, she already spent a large sum on fixed costs, </w:t>
      </w:r>
      <w:r w:rsidR="00843D6E">
        <w:t>which are now</w:t>
      </w:r>
      <w:r>
        <w:t xml:space="preserve"> correctly considered sunk costs. Other modes of transportation, such as public transport, are less competitive in terms of the marginal costs for the trip. In most cases, the car will be cheaper. If the car option is a shared car, the higher marginal cost will lead to more trips taken by alternative transportation. </w:t>
      </w:r>
    </w:p>
    <w:p w:rsidR="002B4229" w:rsidRDefault="002B4229" w:rsidP="004B1E6F">
      <w:r>
        <w:t xml:space="preserve">Fixed costs </w:t>
      </w:r>
      <w:r w:rsidR="000A11C4">
        <w:t xml:space="preserve">thus </w:t>
      </w:r>
      <w:r>
        <w:t xml:space="preserve">motivate to </w:t>
      </w:r>
      <w:r w:rsidRPr="000A11C4">
        <w:t>commit</w:t>
      </w:r>
      <w:r>
        <w:rPr>
          <w:i/>
          <w:iCs/>
        </w:rPr>
        <w:t xml:space="preserve"> </w:t>
      </w:r>
      <w:r>
        <w:t>to a certain mode of transportation</w:t>
      </w:r>
      <w:r w:rsidR="00493A00">
        <w:rPr>
          <w:rStyle w:val="FootnoteReference"/>
        </w:rPr>
        <w:footnoteReference w:id="8"/>
      </w:r>
      <w:r>
        <w:t xml:space="preserve">. This is true for public transport season tickets, but certainly for car ownership. Paying the high fixed costs for a car leads to a high incentive to commit to car use also for shorter journeys where convenient </w:t>
      </w:r>
      <w:r w:rsidR="00C55E77">
        <w:t xml:space="preserve">alternatives exist. Beyond the </w:t>
      </w:r>
      <w:r>
        <w:t xml:space="preserve">economically rational commitment to car use, people are also prone to </w:t>
      </w:r>
      <w:r w:rsidR="00C55E77">
        <w:t xml:space="preserve">stick to </w:t>
      </w:r>
      <w:r>
        <w:t>routine</w:t>
      </w:r>
      <w:r w:rsidR="00C55E77">
        <w:t>s in their</w:t>
      </w:r>
      <w:r>
        <w:t xml:space="preserve"> travel beha</w:t>
      </w:r>
      <w:r w:rsidR="00C55E77">
        <w:t>vior.</w:t>
      </w:r>
      <w:r w:rsidR="00811AA3">
        <w:rPr>
          <w:rStyle w:val="FootnoteReference"/>
        </w:rPr>
        <w:footnoteReference w:id="9"/>
      </w:r>
      <w:r w:rsidR="004B1E6F">
        <w:t xml:space="preserve"> </w:t>
      </w:r>
      <w:proofErr w:type="spellStart"/>
      <w:r w:rsidR="004B1E6F">
        <w:t>Thogerse</w:t>
      </w:r>
      <w:r w:rsidR="000A11C4">
        <w:t>n</w:t>
      </w:r>
      <w:proofErr w:type="spellEnd"/>
      <w:r w:rsidR="000A11C4">
        <w:t xml:space="preserve"> </w:t>
      </w:r>
      <w:r>
        <w:t>found that impacts of past routines are especially strong for car owners, who prefer to stick to their routines rather than finding information about alternatives.</w:t>
      </w:r>
    </w:p>
    <w:p w:rsidR="002B4229" w:rsidRDefault="002B4229" w:rsidP="000A11C4">
      <w:r>
        <w:t xml:space="preserve">A shift to shared cars </w:t>
      </w:r>
      <w:r w:rsidR="00C55E77">
        <w:t xml:space="preserve">and thus higher marginal costs </w:t>
      </w:r>
      <w:r>
        <w:t xml:space="preserve">is expected to have additional consequences. For instance, it is reasonable to believe that in </w:t>
      </w:r>
      <w:r w:rsidR="00C55E77">
        <w:t>case of interchangeable trip destinations such as entertainment</w:t>
      </w:r>
      <w:r w:rsidR="000A11C4">
        <w:t xml:space="preserve"> locations, a </w:t>
      </w:r>
      <w:proofErr w:type="spellStart"/>
      <w:r w:rsidR="000A11C4">
        <w:t>car</w:t>
      </w:r>
      <w:r>
        <w:t>sharer</w:t>
      </w:r>
      <w:proofErr w:type="spellEnd"/>
      <w:r>
        <w:t xml:space="preserve"> will chose </w:t>
      </w:r>
      <w:r w:rsidR="000A11C4">
        <w:t>alternative</w:t>
      </w:r>
      <w:r>
        <w:t>, easier to reach destinations in the first place and thus reduce trip costs</w:t>
      </w:r>
      <w:r w:rsidR="00C55E77">
        <w:t xml:space="preserve"> and transport needs</w:t>
      </w:r>
      <w:r>
        <w:t>.</w:t>
      </w:r>
      <w:r w:rsidR="000A11C4">
        <w:t xml:space="preserve"> Similarly, </w:t>
      </w:r>
      <w:proofErr w:type="spellStart"/>
      <w:r w:rsidR="000A11C4">
        <w:t>carsharers</w:t>
      </w:r>
      <w:proofErr w:type="spellEnd"/>
      <w:r w:rsidR="000A11C4">
        <w:t xml:space="preserve"> may opt for deliveries more often in order to replace trips to shopping centers with private cars.</w:t>
      </w:r>
    </w:p>
    <w:p w:rsidR="002B4229" w:rsidRDefault="00443BD2" w:rsidP="00C55E77">
      <w:r>
        <w:t>Carsharing</w:t>
      </w:r>
      <w:r w:rsidR="002B4229">
        <w:t xml:space="preserve"> also allows for multi-modal trips. Many </w:t>
      </w:r>
      <w:r>
        <w:t>carsharing</w:t>
      </w:r>
      <w:r w:rsidR="002B4229">
        <w:t xml:space="preserve"> organizations actively promote this by positioning cars at major transit hubs, such as train stations. This allows </w:t>
      </w:r>
      <w:r w:rsidR="00C55E77">
        <w:t>the splitting of</w:t>
      </w:r>
      <w:r w:rsidR="002B4229">
        <w:t xml:space="preserve"> a trip to a farther location, using the train to get to the </w:t>
      </w:r>
      <w:r w:rsidR="00C55E77">
        <w:t xml:space="preserve">greater </w:t>
      </w:r>
      <w:r w:rsidR="002B4229">
        <w:t xml:space="preserve">area and a shared car </w:t>
      </w:r>
      <w:r w:rsidR="00C55E77">
        <w:t xml:space="preserve">for fine distribution. </w:t>
      </w:r>
    </w:p>
    <w:p w:rsidR="002B4229" w:rsidRDefault="002B4229" w:rsidP="00AA4DDD">
      <w:r>
        <w:t>Additional environmentalist benefits include:</w:t>
      </w:r>
    </w:p>
    <w:p w:rsidR="002B4229" w:rsidRDefault="002B4229" w:rsidP="000A11C4">
      <w:pPr>
        <w:numPr>
          <w:ilvl w:val="0"/>
          <w:numId w:val="6"/>
        </w:numPr>
      </w:pPr>
      <w:r>
        <w:t xml:space="preserve">Shared fleets usually include newer </w:t>
      </w:r>
      <w:r w:rsidR="00AA4DDD">
        <w:t xml:space="preserve">and smaller cars. </w:t>
      </w:r>
    </w:p>
    <w:p w:rsidR="002B4229" w:rsidRDefault="002B4229">
      <w:pPr>
        <w:numPr>
          <w:ilvl w:val="0"/>
          <w:numId w:val="6"/>
        </w:numPr>
      </w:pPr>
      <w:r>
        <w:lastRenderedPageBreak/>
        <w:t>Shared fleets are professionally maintained, thus reducing polluting and excessive gas consumption</w:t>
      </w:r>
    </w:p>
    <w:p w:rsidR="002B4229" w:rsidRDefault="002B4229">
      <w:pPr>
        <w:numPr>
          <w:ilvl w:val="0"/>
          <w:numId w:val="6"/>
        </w:numPr>
      </w:pPr>
      <w:r>
        <w:t>Shared cars are usually relatively small</w:t>
      </w:r>
    </w:p>
    <w:p w:rsidR="002B4229" w:rsidRDefault="002B4229">
      <w:pPr>
        <w:numPr>
          <w:ilvl w:val="0"/>
          <w:numId w:val="6"/>
        </w:numPr>
      </w:pPr>
      <w:r>
        <w:t>Shared cars do not carry unnecessary luggage</w:t>
      </w:r>
    </w:p>
    <w:p w:rsidR="002B4229" w:rsidRDefault="00C55E77" w:rsidP="00A5724D">
      <w:r>
        <w:t xml:space="preserve">The theoretical models hinting at reduction of </w:t>
      </w:r>
      <w:r w:rsidR="00A5724D" w:rsidRPr="00A5724D">
        <w:t>v</w:t>
      </w:r>
      <w:r w:rsidR="00A5724D">
        <w:t xml:space="preserve">ehicle miles travelled </w:t>
      </w:r>
      <w:r w:rsidR="00A5724D" w:rsidRPr="00A5724D">
        <w:t>(</w:t>
      </w:r>
      <w:r w:rsidR="00A5724D">
        <w:t xml:space="preserve">VMT) </w:t>
      </w:r>
      <w:r>
        <w:t>after a switch from owned to shared cars are backed by empiric research.</w:t>
      </w:r>
    </w:p>
    <w:p w:rsidR="00BB7A7F" w:rsidRDefault="00BB7A7F" w:rsidP="00BB7A7F">
      <w:pPr>
        <w:pStyle w:val="Subtitle"/>
      </w:pPr>
      <w:r>
        <w:t>Sale of vehicles or foregone purchases</w:t>
      </w:r>
    </w:p>
    <w:p w:rsidR="00AC1810" w:rsidRDefault="000A11C4" w:rsidP="00167384">
      <w:r>
        <w:t>The TCRP Report 108</w:t>
      </w:r>
      <w:r>
        <w:rPr>
          <w:rStyle w:val="FootnoteReference"/>
        </w:rPr>
        <w:footnoteReference w:id="10"/>
      </w:r>
      <w:r w:rsidR="002B4229">
        <w:t xml:space="preserve"> lists tens of research papers that found between 7% and 44% of new </w:t>
      </w:r>
      <w:r w:rsidR="00443BD2">
        <w:t>carsharing</w:t>
      </w:r>
      <w:r w:rsidR="002B4229">
        <w:t xml:space="preserve"> users who sold a car (primary or secondary) as a result of the membership in a </w:t>
      </w:r>
      <w:r w:rsidR="00443BD2">
        <w:t>carsharing</w:t>
      </w:r>
      <w:r w:rsidR="002B4229">
        <w:t xml:space="preserve"> service. In addition, between 5% and 63% of users chose </w:t>
      </w:r>
      <w:r w:rsidR="00443BD2">
        <w:t>carsharing</w:t>
      </w:r>
      <w:r w:rsidR="002B4229">
        <w:t xml:space="preserve"> as an alternative to the purchase of an additional vehicle for the household.</w:t>
      </w:r>
      <w:r w:rsidR="007710CF">
        <w:t xml:space="preserve"> </w:t>
      </w:r>
      <w:r w:rsidR="00443BD2">
        <w:t>Carsharing</w:t>
      </w:r>
      <w:r w:rsidR="007710CF">
        <w:t xml:space="preserve"> thus has an impact on the number of cars on the roads</w:t>
      </w:r>
      <w:r w:rsidR="00167384">
        <w:t xml:space="preserve"> and on demand for parking space</w:t>
      </w:r>
      <w:r w:rsidR="007710CF">
        <w:t xml:space="preserve">. </w:t>
      </w:r>
      <w:r w:rsidR="004D3395">
        <w:t>For example, the 35</w:t>
      </w:r>
      <w:r w:rsidR="00167384">
        <w:t>,</w:t>
      </w:r>
      <w:r w:rsidR="004D3395">
        <w:t xml:space="preserve">000 users of Philadelphia's </w:t>
      </w:r>
      <w:proofErr w:type="spellStart"/>
      <w:r w:rsidR="004D3395">
        <w:t>PhillyCarShare</w:t>
      </w:r>
      <w:proofErr w:type="spellEnd"/>
      <w:r w:rsidR="004D3395">
        <w:t xml:space="preserve"> are reported to have foregone the purchase of 13</w:t>
      </w:r>
      <w:r w:rsidR="00167384">
        <w:t>,</w:t>
      </w:r>
      <w:r w:rsidR="004D3395">
        <w:t>000 vehicles.</w:t>
      </w:r>
      <w:r w:rsidR="004D3395">
        <w:rPr>
          <w:rStyle w:val="FootnoteReference"/>
        </w:rPr>
        <w:footnoteReference w:id="11"/>
      </w:r>
    </w:p>
    <w:p w:rsidR="002B4229" w:rsidRDefault="002B4229" w:rsidP="005C1C99">
      <w:r>
        <w:t xml:space="preserve">The impact of </w:t>
      </w:r>
      <w:r w:rsidR="00443BD2">
        <w:t>carsharing</w:t>
      </w:r>
      <w:r>
        <w:t xml:space="preserve"> in terms of private car replacement is usually computed as follows:</w:t>
      </w:r>
      <w:r w:rsidR="005C1C99">
        <w:rPr>
          <w:rStyle w:val="FootnoteReference"/>
        </w:rPr>
        <w:footnoteReference w:id="12"/>
      </w:r>
    </w:p>
    <w:p w:rsidR="002B4229" w:rsidRPr="005C1C99" w:rsidRDefault="005C1C99" w:rsidP="005C1C99">
      <w:pPr>
        <w:rPr>
          <w:b/>
          <w:bCs/>
        </w:rPr>
      </w:pPr>
      <w:r w:rsidRPr="005C1C99">
        <w:rPr>
          <w:b/>
          <w:bCs/>
        </w:rPr>
        <w:t>(% who give</w:t>
      </w:r>
      <w:r w:rsidR="00167384">
        <w:rPr>
          <w:b/>
          <w:bCs/>
        </w:rPr>
        <w:t xml:space="preserve"> up a car * members per vehicle</w:t>
      </w:r>
      <w:r w:rsidRPr="005C1C99">
        <w:rPr>
          <w:b/>
          <w:bCs/>
        </w:rPr>
        <w:t>) -1 = vehicles reduced</w:t>
      </w:r>
    </w:p>
    <w:p w:rsidR="002B4229" w:rsidRDefault="002B4229" w:rsidP="00167384">
      <w:r>
        <w:t xml:space="preserve">The </w:t>
      </w:r>
      <w:r w:rsidR="00167384">
        <w:t>member per vehicle ratio was</w:t>
      </w:r>
      <w:r>
        <w:t xml:space="preserve"> found by </w:t>
      </w:r>
      <w:r w:rsidR="00167384">
        <w:t>Millard-Ball et.al.</w:t>
      </w:r>
      <w:r>
        <w:t xml:space="preserve"> </w:t>
      </w:r>
      <w:proofErr w:type="gramStart"/>
      <w:r>
        <w:t>to</w:t>
      </w:r>
      <w:proofErr w:type="gramEnd"/>
      <w:r>
        <w:t xml:space="preserve"> be about 27</w:t>
      </w:r>
      <w:r w:rsidR="005C1C99">
        <w:t xml:space="preserve">. With such cautious numbers it is safe to assume that every shared car replaces </w:t>
      </w:r>
      <w:r w:rsidR="00167384">
        <w:t>at least</w:t>
      </w:r>
      <w:r w:rsidR="005C1C99">
        <w:t xml:space="preserve"> 5 privately owned </w:t>
      </w:r>
      <w:r w:rsidR="00167384">
        <w:t>vehicles</w:t>
      </w:r>
      <w:r w:rsidR="005C1C99">
        <w:t>. In some cases, this number is believ</w:t>
      </w:r>
      <w:r w:rsidR="00266340">
        <w:t>ed to rise as high as about 15.</w:t>
      </w:r>
      <w:r w:rsidR="00266340">
        <w:rPr>
          <w:rStyle w:val="FootnoteReference"/>
        </w:rPr>
        <w:footnoteReference w:id="13"/>
      </w:r>
    </w:p>
    <w:p w:rsidR="00F17289" w:rsidRDefault="00F17289" w:rsidP="00167384">
      <w:proofErr w:type="spellStart"/>
      <w:r>
        <w:t>Haefeli</w:t>
      </w:r>
      <w:proofErr w:type="spellEnd"/>
      <w:r>
        <w:t xml:space="preserve"> and </w:t>
      </w:r>
      <w:proofErr w:type="spellStart"/>
      <w:r>
        <w:t>Matti</w:t>
      </w:r>
      <w:proofErr w:type="spellEnd"/>
      <w:r>
        <w:t xml:space="preserve"> </w:t>
      </w:r>
      <w:r w:rsidR="00167384">
        <w:t xml:space="preserve">(2006) </w:t>
      </w:r>
      <w:r>
        <w:t xml:space="preserve">found that </w:t>
      </w:r>
      <w:r w:rsidR="00167384">
        <w:t xml:space="preserve">the yearly mileage of </w:t>
      </w:r>
      <w:r>
        <w:t>a vehicle</w:t>
      </w:r>
      <w:r w:rsidR="00167384">
        <w:t xml:space="preserve"> in the fleet of Switzerland's Mobility lies about 50% above average</w:t>
      </w:r>
      <w:r>
        <w:t xml:space="preserve">, which may further reduce the need for parking space </w:t>
      </w:r>
      <w:r w:rsidR="00167384">
        <w:t>assuming that shared cars could be parked on regular on-street parking.</w:t>
      </w:r>
    </w:p>
    <w:p w:rsidR="002B4229" w:rsidRDefault="00BB7A7F" w:rsidP="00BB7A7F">
      <w:pPr>
        <w:pStyle w:val="Subtitle"/>
      </w:pPr>
      <w:r>
        <w:t xml:space="preserve">Vehicle Miles Traveled </w:t>
      </w:r>
    </w:p>
    <w:p w:rsidR="00AA4DDD" w:rsidRPr="000A411F" w:rsidRDefault="00266340" w:rsidP="00AB00DA">
      <w:r>
        <w:t>Numerous</w:t>
      </w:r>
      <w:r w:rsidR="002B4229">
        <w:t xml:space="preserve"> research papers and surveys found reductions in VMT</w:t>
      </w:r>
      <w:r w:rsidR="00276C2F">
        <w:t xml:space="preserve"> (vehicle miles traveled) per </w:t>
      </w:r>
      <w:r w:rsidR="00276C2F">
        <w:lastRenderedPageBreak/>
        <w:t>customer</w:t>
      </w:r>
      <w:r>
        <w:rPr>
          <w:rStyle w:val="FootnoteReference"/>
        </w:rPr>
        <w:footnoteReference w:id="14"/>
      </w:r>
      <w:r w:rsidR="002B4229">
        <w:t xml:space="preserve">. </w:t>
      </w:r>
      <w:r w:rsidR="00AB00DA">
        <w:t>It</w:t>
      </w:r>
      <w:r w:rsidR="002B4229">
        <w:t xml:space="preserve"> is relatively complicated to measure the reduced miles and different methodologies wer</w:t>
      </w:r>
      <w:r w:rsidR="00AB00DA">
        <w:t>e used and correctly criticized.</w:t>
      </w:r>
      <w:r w:rsidR="002B4229">
        <w:t xml:space="preserve"> </w:t>
      </w:r>
      <w:r w:rsidR="00AB00DA">
        <w:t>T</w:t>
      </w:r>
      <w:r w:rsidR="002B4229">
        <w:t>he surveys range in reductions from 28% up to 72%.</w:t>
      </w:r>
      <w:r w:rsidR="00AA4DDD">
        <w:t xml:space="preserve"> </w:t>
      </w:r>
      <w:r w:rsidR="000A411F">
        <w:t xml:space="preserve">The highest drop was reported in </w:t>
      </w:r>
      <w:r w:rsidR="00BB5AB7">
        <w:t>Munich</w:t>
      </w:r>
      <w:r w:rsidR="000A411F">
        <w:t xml:space="preserve">, where mileage sank from 13000 km to 3000 </w:t>
      </w:r>
      <w:r w:rsidR="00BB5AB7">
        <w:t>km (-77%).</w:t>
      </w:r>
      <w:r w:rsidR="00AB00DA">
        <w:rPr>
          <w:rStyle w:val="FootnoteReference"/>
        </w:rPr>
        <w:footnoteReference w:id="15"/>
      </w:r>
    </w:p>
    <w:p w:rsidR="00AA4DDD" w:rsidRDefault="00DB6865" w:rsidP="00DB6865">
      <w:r>
        <w:t>M</w:t>
      </w:r>
      <w:r w:rsidR="002B4229">
        <w:t xml:space="preserve">ost of the reduction is accounted for by former car owners. </w:t>
      </w:r>
      <w:r>
        <w:t>U</w:t>
      </w:r>
      <w:r w:rsidR="002B4229">
        <w:t xml:space="preserve">ser segments that did not own a car before </w:t>
      </w:r>
      <w:r>
        <w:t xml:space="preserve">joining </w:t>
      </w:r>
      <w:r w:rsidR="002B4229">
        <w:t xml:space="preserve">mostly report increased VMT. </w:t>
      </w:r>
      <w:r w:rsidR="00BB7A7F">
        <w:t xml:space="preserve">In Switzerland, the percentage of users who </w:t>
      </w:r>
      <w:r>
        <w:t>increased</w:t>
      </w:r>
      <w:r w:rsidR="00BB7A7F">
        <w:t xml:space="preserve"> their VMT was 77%, vs. only 23% who reduced their VMT. However, the increase in VMT for people who did not previously own a car was marginal and by far offset by the reduction in VMT of people who sold a vehicle or refrained from the purchase.</w:t>
      </w:r>
      <w:r w:rsidR="004C4910">
        <w:t xml:space="preserve"> After one year of operation, users of Philadelphia's </w:t>
      </w:r>
      <w:proofErr w:type="spellStart"/>
      <w:r w:rsidR="004C4910">
        <w:t>PhillyCarShare</w:t>
      </w:r>
      <w:proofErr w:type="spellEnd"/>
      <w:r w:rsidR="004C4910">
        <w:t xml:space="preserve"> reported similar outcomes. The average VMT increase for drivers who previously did not own a car stood at about 19 miles per month, whereas previous car owners reduced their monthly mileage by up to 522 miles.</w:t>
      </w:r>
      <w:r w:rsidR="004C4910">
        <w:rPr>
          <w:rStyle w:val="FootnoteReference"/>
        </w:rPr>
        <w:footnoteReference w:id="16"/>
      </w:r>
    </w:p>
    <w:p w:rsidR="00BB7A7F" w:rsidRDefault="00BB7A7F" w:rsidP="00DB6865">
      <w:r>
        <w:t>A returning phenomenon is that car</w:t>
      </w:r>
      <w:r w:rsidR="004A347F">
        <w:t xml:space="preserve">sharing organizations see reductions of use over time. While part of this may certainly be accounted for by initial excitement, the </w:t>
      </w:r>
      <w:r w:rsidR="00DB6865">
        <w:t>commitment factor</w:t>
      </w:r>
      <w:r w:rsidR="004A347F">
        <w:t xml:space="preserve"> outlined above can certainly be seen at work. In a study on </w:t>
      </w:r>
      <w:proofErr w:type="spellStart"/>
      <w:r w:rsidR="004A347F">
        <w:t>CarShare</w:t>
      </w:r>
      <w:proofErr w:type="spellEnd"/>
      <w:r w:rsidR="004A347F">
        <w:t xml:space="preserve"> Portland, 75% of users reported that they become more aware of travel costs and 62% reported that this awareness influenced their behavior at least somewhat. Specifically, this led to more </w:t>
      </w:r>
      <w:proofErr w:type="gramStart"/>
      <w:r w:rsidR="004A347F">
        <w:t>trip</w:t>
      </w:r>
      <w:proofErr w:type="gramEnd"/>
      <w:r w:rsidR="004A347F">
        <w:t xml:space="preserve"> planning and bundling in order to minimize costs</w:t>
      </w:r>
      <w:r w:rsidR="00323309">
        <w:rPr>
          <w:rStyle w:val="FootnoteReference"/>
        </w:rPr>
        <w:footnoteReference w:id="17"/>
      </w:r>
      <w:r w:rsidR="004A347F">
        <w:t>.</w:t>
      </w:r>
      <w:r w:rsidR="00323309">
        <w:t xml:space="preserve"> </w:t>
      </w:r>
      <w:proofErr w:type="spellStart"/>
      <w:r w:rsidR="00323309">
        <w:t>Katzev</w:t>
      </w:r>
      <w:proofErr w:type="spellEnd"/>
      <w:r w:rsidR="00323309">
        <w:t xml:space="preserve"> also notes the importance of a well-functioning public transport system in order to fully materializ</w:t>
      </w:r>
      <w:r w:rsidR="00DB6865">
        <w:t>e the effects of VMT reduction</w:t>
      </w:r>
      <w:r w:rsidR="00323309">
        <w:t xml:space="preserve">. The insufficient options available in America and also in Israel may not allow </w:t>
      </w:r>
      <w:r w:rsidR="004D3395">
        <w:t>copying</w:t>
      </w:r>
      <w:r w:rsidR="00323309">
        <w:t xml:space="preserve"> the impressive results reported in many European studies.</w:t>
      </w:r>
    </w:p>
    <w:p w:rsidR="004D3395" w:rsidRDefault="006D5900" w:rsidP="004A347F">
      <w:r>
        <w:t>I</w:t>
      </w:r>
      <w:r w:rsidR="004D3395">
        <w:t xml:space="preserve">ntermodal shifts were reported also for </w:t>
      </w:r>
      <w:r w:rsidR="009A3792">
        <w:t>Philadelphia. Users increased walking by 40%, public transit by 34%, biking by 18% and taxis by 13%</w:t>
      </w:r>
      <w:r>
        <w:rPr>
          <w:rStyle w:val="FootnoteReference"/>
        </w:rPr>
        <w:footnoteReference w:id="18"/>
      </w:r>
      <w:r w:rsidR="009A3792">
        <w:t>.</w:t>
      </w:r>
    </w:p>
    <w:p w:rsidR="00BB7A7F" w:rsidRDefault="00BB7A7F" w:rsidP="00AA4DDD"/>
    <w:p w:rsidR="00BB7A7F" w:rsidRDefault="00BB7A7F" w:rsidP="00BB7A7F">
      <w:pPr>
        <w:pStyle w:val="Subtitle"/>
      </w:pPr>
      <w:r>
        <w:t>Energy and Emissions</w:t>
      </w:r>
    </w:p>
    <w:p w:rsidR="00AA4DDD" w:rsidRDefault="00AA4DDD" w:rsidP="00AA4DDD">
      <w:r>
        <w:lastRenderedPageBreak/>
        <w:t xml:space="preserve">Based on a survey of 520 households </w:t>
      </w:r>
      <w:r w:rsidR="006D5900">
        <w:t xml:space="preserve">with membership in Switzerland's Mobility </w:t>
      </w:r>
      <w:r>
        <w:t xml:space="preserve">that were compared against a hypothetical control-household, </w:t>
      </w:r>
      <w:proofErr w:type="spellStart"/>
      <w:r>
        <w:t>Haefeli</w:t>
      </w:r>
      <w:proofErr w:type="spellEnd"/>
      <w:r>
        <w:t xml:space="preserve"> and </w:t>
      </w:r>
      <w:proofErr w:type="spellStart"/>
      <w:r>
        <w:t>Matti</w:t>
      </w:r>
      <w:proofErr w:type="spellEnd"/>
      <w:r>
        <w:t xml:space="preserve"> </w:t>
      </w:r>
      <w:r w:rsidR="006D5900">
        <w:t xml:space="preserve">(2006) </w:t>
      </w:r>
      <w:r>
        <w:t>calculated a yearly energy saving of about 78 TJ</w:t>
      </w:r>
      <w:r>
        <w:rPr>
          <w:rStyle w:val="FootnoteReference"/>
        </w:rPr>
        <w:footnoteReference w:id="19"/>
      </w:r>
      <w:r>
        <w:t>. Per active user, this means a saving of about 2000 MJ per year. In terms of CO2 emissions, they calculated a saving of 290 kg per active user and year.</w:t>
      </w:r>
    </w:p>
    <w:p w:rsidR="004D3395" w:rsidRPr="004D3395" w:rsidRDefault="004D3395" w:rsidP="006D5900">
      <w:pPr>
        <w:rPr>
          <w:rtl/>
        </w:rPr>
      </w:pPr>
      <w:proofErr w:type="spellStart"/>
      <w:r>
        <w:t>Ryden</w:t>
      </w:r>
      <w:proofErr w:type="spellEnd"/>
      <w:r>
        <w:t xml:space="preserve"> and Morin </w:t>
      </w:r>
      <w:r w:rsidR="00A62888">
        <w:t>(2005)</w:t>
      </w:r>
      <w:r>
        <w:t xml:space="preserve"> estimated a 40%-50% reduction in CO2 emissions as a result of switching to carsharing in Europe.</w:t>
      </w:r>
      <w:r w:rsidR="00A62888">
        <w:t xml:space="preserve"> </w:t>
      </w:r>
    </w:p>
    <w:p w:rsidR="002B4229" w:rsidRDefault="002B4229" w:rsidP="00E67DB8">
      <w:pPr>
        <w:pStyle w:val="Heading1"/>
      </w:pPr>
      <w:bookmarkStart w:id="7" w:name="_Toc263943200"/>
      <w:r>
        <w:t>Israeli aspects</w:t>
      </w:r>
      <w:bookmarkEnd w:id="7"/>
    </w:p>
    <w:p w:rsidR="002B4229" w:rsidRDefault="009420A7" w:rsidP="009420A7">
      <w:r>
        <w:t>The state of the Israeli transport alternatives and the regulatory environment lead to a number of unique features that must be taken into account when estimating the potential of carsharing in Israel.</w:t>
      </w:r>
    </w:p>
    <w:p w:rsidR="002B4229" w:rsidRDefault="009420A7" w:rsidP="00222036">
      <w:r>
        <w:t>On the economic side</w:t>
      </w:r>
      <w:r w:rsidR="00070B0F">
        <w:t>, h</w:t>
      </w:r>
      <w:r w:rsidR="002B4229">
        <w:t>eavy taxation both on new car purc</w:t>
      </w:r>
      <w:r w:rsidR="009D4023">
        <w:t>hases as well as on gas led</w:t>
      </w:r>
      <w:r w:rsidR="002B4229">
        <w:t xml:space="preserve"> </w:t>
      </w:r>
      <w:r w:rsidR="009D4023">
        <w:t>to</w:t>
      </w:r>
      <w:r w:rsidR="002B4229">
        <w:t xml:space="preserve"> high prices for consumers. </w:t>
      </w:r>
      <w:r w:rsidR="009D4023">
        <w:t>As a result, the number of vehicles per 1000 people is low compared to western standards and stands at 306, as compared to at least 400 (Denmark) and up to 800 (USA). These factors led to a comparatively intensive use of vehicles in Israel. The average vehicle</w:t>
      </w:r>
      <w:r w:rsidR="009D4023">
        <w:rPr>
          <w:rStyle w:val="FootnoteReference"/>
        </w:rPr>
        <w:footnoteReference w:id="20"/>
      </w:r>
      <w:r w:rsidR="00E938A8">
        <w:t xml:space="preserve"> drives about 20000 km a year - the same number as in the USA, but considerably higher than in the UK (16000 km), Switzerland (14000 km) or Japan (10000 km).</w:t>
      </w:r>
      <w:r w:rsidR="00E938A8">
        <w:rPr>
          <w:rStyle w:val="FootnoteReference"/>
        </w:rPr>
        <w:footnoteReference w:id="21"/>
      </w:r>
    </w:p>
    <w:p w:rsidR="002B4229" w:rsidRDefault="00E938A8">
      <w:r>
        <w:t>These numbers hint at a rather economic use of car and an awareness of the costs of cars.</w:t>
      </w:r>
    </w:p>
    <w:p w:rsidR="00E938A8" w:rsidRDefault="00222036" w:rsidP="0004617C">
      <w:r>
        <w:t>Public transit is poorly developed when compared to European standard</w:t>
      </w:r>
      <w:r w:rsidR="002B4229">
        <w:t>.</w:t>
      </w:r>
      <w:r w:rsidR="00A42A42">
        <w:rPr>
          <w:rStyle w:val="FootnoteReference"/>
        </w:rPr>
        <w:footnoteReference w:id="22"/>
      </w:r>
      <w:r w:rsidR="002B4229">
        <w:t xml:space="preserve"> </w:t>
      </w:r>
      <w:r w:rsidR="00E938A8">
        <w:t>In addition to this problem, Israel is the only country in the world where public transport completely shuts down for 24 hours every weekend. This significantly increases the service gaps for passengers without access to cars. Carsharing can conveniently close this gap at competitive costs, thus lowerin</w:t>
      </w:r>
      <w:r w:rsidR="00A66A3E">
        <w:t>g incentives to purchase a car</w:t>
      </w:r>
      <w:r w:rsidR="0004617C">
        <w:t xml:space="preserve"> for people who have suitable alternatives during the week</w:t>
      </w:r>
      <w:r w:rsidR="00A66A3E">
        <w:t>.</w:t>
      </w:r>
    </w:p>
    <w:p w:rsidR="002B4229" w:rsidRDefault="00E938A8">
      <w:r>
        <w:t xml:space="preserve">Many Israelis might also be familiar with the concept of carsharing, since it was and still is applied </w:t>
      </w:r>
      <w:r w:rsidR="00A66A3E">
        <w:t>in its basics in most Kibbutzim.</w:t>
      </w:r>
    </w:p>
    <w:p w:rsidR="002B4229" w:rsidRDefault="0004617C" w:rsidP="00266340">
      <w:pPr>
        <w:pStyle w:val="Heading1"/>
      </w:pPr>
      <w:bookmarkStart w:id="8" w:name="_Toc263943201"/>
      <w:r>
        <w:lastRenderedPageBreak/>
        <w:t>Comparison of the Cost S</w:t>
      </w:r>
      <w:r w:rsidR="002B4229">
        <w:t xml:space="preserve">tructure </w:t>
      </w:r>
      <w:r>
        <w:t>of Carsharing P</w:t>
      </w:r>
      <w:r w:rsidR="00266340">
        <w:t>roviders</w:t>
      </w:r>
      <w:bookmarkEnd w:id="8"/>
    </w:p>
    <w:p w:rsidR="00475CBD" w:rsidRDefault="00475CBD" w:rsidP="00E979DE">
      <w:r>
        <w:t xml:space="preserve">Car ownership costs in Israel are markedly higher than in the US and </w:t>
      </w:r>
      <w:r w:rsidR="00DB516C">
        <w:t xml:space="preserve">most European countries. </w:t>
      </w:r>
      <w:r w:rsidR="00E979DE">
        <w:t>If carsharing prices would be equal to the rates in the US, a high sharing ration could be anticipated in Israel. Thus, a sample survey of carsharing prices in major European and American cities was undertaken and compared against the pricing of Car2Go in Tel Aviv</w:t>
      </w:r>
      <w:r w:rsidR="00E979DE">
        <w:rPr>
          <w:rStyle w:val="FootnoteReference"/>
        </w:rPr>
        <w:footnoteReference w:id="23"/>
      </w:r>
      <w:r w:rsidR="00E979DE">
        <w:t>.</w:t>
      </w:r>
    </w:p>
    <w:p w:rsidR="0057428A" w:rsidRDefault="00CF652E" w:rsidP="00E979DE">
      <w:r>
        <w:t>The high costs of car ownership in Israel are not reflected in the current pricing model</w:t>
      </w:r>
      <w:r w:rsidR="00953EA5">
        <w:t xml:space="preserve"> of Car2Go</w:t>
      </w:r>
      <w:r w:rsidR="00E979DE">
        <w:t xml:space="preserve">. </w:t>
      </w:r>
      <w:r w:rsidR="0057428A">
        <w:t>Most notably, the hourly rental fees ar</w:t>
      </w:r>
      <w:r w:rsidR="00E979DE">
        <w:t>e below average as compared to the</w:t>
      </w:r>
      <w:r w:rsidR="0057428A">
        <w:t xml:space="preserve"> sample.</w:t>
      </w:r>
      <w:r w:rsidR="0079441E">
        <w:t xml:space="preserve"> Out of the sample, only the hourly fees in Germany and in Switzerland were cheaper.</w:t>
      </w:r>
    </w:p>
    <w:p w:rsidR="0057428A" w:rsidRDefault="0057428A" w:rsidP="0057428A"/>
    <w:p w:rsidR="00CF652E" w:rsidRPr="0057428A" w:rsidRDefault="0057428A" w:rsidP="0057428A">
      <w:r w:rsidRPr="0057428A">
        <w:rPr>
          <w:noProof/>
          <w:lang w:eastAsia="en-US"/>
        </w:rPr>
        <w:drawing>
          <wp:inline distT="0" distB="0" distL="0" distR="0">
            <wp:extent cx="5691883" cy="348294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Style w:val="FootnoteReference"/>
        </w:rPr>
        <w:footnoteReference w:id="24"/>
      </w:r>
      <w:r>
        <w:t xml:space="preserve"> </w:t>
      </w:r>
    </w:p>
    <w:p w:rsidR="002B4229" w:rsidRDefault="0079441E">
      <w:r>
        <w:t xml:space="preserve">The other major component of </w:t>
      </w:r>
      <w:r w:rsidR="00443BD2">
        <w:t>carsharing</w:t>
      </w:r>
      <w:r>
        <w:t xml:space="preserve"> costs is the mileage fee.</w:t>
      </w:r>
    </w:p>
    <w:p w:rsidR="0079441E" w:rsidRDefault="0079441E">
      <w:r w:rsidRPr="0079441E">
        <w:rPr>
          <w:noProof/>
          <w:lang w:eastAsia="en-US"/>
        </w:rPr>
        <w:lastRenderedPageBreak/>
        <w:drawing>
          <wp:inline distT="0" distB="0" distL="0" distR="0">
            <wp:extent cx="5274129" cy="3126921"/>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9441E" w:rsidRDefault="0079441E" w:rsidP="005C30BE">
      <w:r>
        <w:t xml:space="preserve">The kilometer charge in Tel Aviv is amongst the higher ones in the sample, dwarfed only by Paris and Switzerland. In Manhattan and in Baltimore, 180 miles are included in every rental. </w:t>
      </w:r>
      <w:r w:rsidR="00D44DE0">
        <w:t xml:space="preserve">It must be noted, that the rate for the Value price plan </w:t>
      </w:r>
      <w:r w:rsidR="005C30BE">
        <w:t xml:space="preserve">in Tel Aviv </w:t>
      </w:r>
      <w:r w:rsidR="00D44DE0">
        <w:t xml:space="preserve">drops to NIS 0.99 / km after 50 kilometers per rental period. </w:t>
      </w:r>
    </w:p>
    <w:p w:rsidR="00475CBD" w:rsidRDefault="00475CBD">
      <w:r>
        <w:t>In order to make sense of the differences in hourly and kilometer fares, the monthly fixed costs must be considered.</w:t>
      </w:r>
    </w:p>
    <w:p w:rsidR="00475CBD" w:rsidRDefault="00475CBD">
      <w:r w:rsidRPr="00475CBD">
        <w:rPr>
          <w:noProof/>
          <w:lang w:eastAsia="en-US"/>
        </w:rPr>
        <w:drawing>
          <wp:inline distT="0" distB="0" distL="0" distR="0">
            <wp:extent cx="6072027" cy="305142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B4229" w:rsidRDefault="002B4229" w:rsidP="00E67DB8">
      <w:pPr>
        <w:pStyle w:val="Heading1"/>
      </w:pPr>
      <w:bookmarkStart w:id="9" w:name="_Toc263943202"/>
      <w:r>
        <w:lastRenderedPageBreak/>
        <w:t>Methodology</w:t>
      </w:r>
      <w:bookmarkEnd w:id="9"/>
    </w:p>
    <w:p w:rsidR="002B4229" w:rsidRDefault="002B4229" w:rsidP="005C30BE">
      <w:r>
        <w:t>A Monte- Carlo simulation</w:t>
      </w:r>
      <w:r w:rsidR="00953EA5">
        <w:rPr>
          <w:rStyle w:val="FootnoteReference"/>
        </w:rPr>
        <w:footnoteReference w:id="25"/>
      </w:r>
      <w:r>
        <w:t xml:space="preserve"> was used in order to compute the costs of ownership and </w:t>
      </w:r>
      <w:r w:rsidR="00443BD2">
        <w:t>carsharing</w:t>
      </w:r>
      <w:r w:rsidR="00953EA5">
        <w:t>, as suggested in Schuster et al</w:t>
      </w:r>
      <w:r>
        <w:t xml:space="preserve">. This simulation is often used when </w:t>
      </w:r>
      <w:r w:rsidR="005C30BE">
        <w:t>facing a high level of</w:t>
      </w:r>
      <w:r>
        <w:t xml:space="preserve"> uncertainty in regard to the input variables. A distribution is estimated for every variable, and correlations are defined where necessary. </w:t>
      </w:r>
      <w:proofErr w:type="gramStart"/>
      <w:r w:rsidR="00953EA5">
        <w:t>Every iteration</w:t>
      </w:r>
      <w:proofErr w:type="gramEnd"/>
      <w:r w:rsidR="005C30BE">
        <w:t xml:space="preserve"> generates</w:t>
      </w:r>
      <w:r>
        <w:t xml:space="preserve"> </w:t>
      </w:r>
      <w:r w:rsidR="00953EA5">
        <w:t xml:space="preserve">a random sample according </w:t>
      </w:r>
      <w:r>
        <w:t xml:space="preserve">to </w:t>
      </w:r>
      <w:r w:rsidR="005C30BE">
        <w:t>the probabilities of the input</w:t>
      </w:r>
      <w:r>
        <w:t xml:space="preserve"> distribution</w:t>
      </w:r>
      <w:r w:rsidR="005C30BE">
        <w:t xml:space="preserve">. The simulation is then run numerous times. </w:t>
      </w:r>
      <w:r>
        <w:t>Each result represents a possible outcome. The larg</w:t>
      </w:r>
      <w:r w:rsidR="007E18F5">
        <w:t>e amount of outcomes allows inferring reasonable conclusions</w:t>
      </w:r>
      <w:r>
        <w:t>.</w:t>
      </w:r>
    </w:p>
    <w:p w:rsidR="002B4229" w:rsidRDefault="002B4229" w:rsidP="003608E7">
      <w:r>
        <w:t xml:space="preserve">Two values were computed </w:t>
      </w:r>
      <w:proofErr w:type="gramStart"/>
      <w:r>
        <w:t xml:space="preserve">for </w:t>
      </w:r>
      <w:r w:rsidR="00F02CFF">
        <w:t>each</w:t>
      </w:r>
      <w:r>
        <w:t xml:space="preserve"> iteration</w:t>
      </w:r>
      <w:proofErr w:type="gramEnd"/>
      <w:r>
        <w:t xml:space="preserve">: the costs of car ownership and the costs of </w:t>
      </w:r>
      <w:r w:rsidR="00443BD2">
        <w:t>carsharing</w:t>
      </w:r>
      <w:r>
        <w:t xml:space="preserve">. This allowed for direct comparison of the yearly costs of ownership and </w:t>
      </w:r>
      <w:r w:rsidR="00443BD2">
        <w:t>carsharing</w:t>
      </w:r>
      <w:r>
        <w:t xml:space="preserve"> for the exact same journeys.</w:t>
      </w:r>
    </w:p>
    <w:p w:rsidR="002B4229" w:rsidRDefault="002B4229">
      <w:r>
        <w:t>Equation (1) was used to compute the ownership costs:</w:t>
      </w:r>
    </w:p>
    <w:p w:rsidR="002B4229" w:rsidRDefault="0087547C">
      <w:r w:rsidRPr="0087547C">
        <w:rPr>
          <w:position w:val="-10"/>
        </w:rPr>
        <w:object w:dxaOrig="8460" w:dyaOrig="340">
          <v:shape id="_x0000_i1027" type="#_x0000_t75" style="width:422.4pt;height:16.8pt" o:ole="" filled="t">
            <v:fill color2="black"/>
            <v:imagedata r:id="rId19" o:title=""/>
          </v:shape>
          <o:OLEObject Type="Embed" ProgID="Equation.3" ShapeID="_x0000_i1027" DrawAspect="Content" ObjectID="_1343999963" r:id="rId20"/>
        </w:object>
      </w:r>
    </w:p>
    <w:p w:rsidR="002B4229" w:rsidRDefault="002B4229">
      <w:r>
        <w:t>Equation (2) was used to compute the sharing costs:</w:t>
      </w:r>
    </w:p>
    <w:p w:rsidR="002B4229" w:rsidRDefault="00F02CFF">
      <w:r w:rsidRPr="0087547C">
        <w:rPr>
          <w:position w:val="-10"/>
        </w:rPr>
        <w:object w:dxaOrig="5820" w:dyaOrig="340">
          <v:shape id="_x0000_i1028" type="#_x0000_t75" style="width:290.4pt;height:16.8pt" o:ole="" filled="t">
            <v:fill color2="black"/>
            <v:imagedata r:id="rId21" o:title=""/>
          </v:shape>
          <o:OLEObject Type="Embed" ProgID="Equation.3" ShapeID="_x0000_i1028" DrawAspect="Content" ObjectID="_1343999964" r:id="rId22"/>
        </w:object>
      </w:r>
    </w:p>
    <w:p w:rsidR="002B4229" w:rsidRDefault="002B4229" w:rsidP="005C30BE">
      <w:proofErr w:type="gramStart"/>
      <w:r>
        <w:t>For each iteration</w:t>
      </w:r>
      <w:proofErr w:type="gramEnd"/>
      <w:r>
        <w:t xml:space="preserve">, the output </w:t>
      </w:r>
      <w:r w:rsidR="007E18F5">
        <w:t>"</w:t>
      </w:r>
      <w:r>
        <w:t>0</w:t>
      </w:r>
      <w:r w:rsidR="007E18F5">
        <w:t>"</w:t>
      </w:r>
      <w:r>
        <w:t xml:space="preserve"> was produced if ownership costs were lower and </w:t>
      </w:r>
      <w:r w:rsidR="007E18F5">
        <w:t>"</w:t>
      </w:r>
      <w:r>
        <w:t>1</w:t>
      </w:r>
      <w:r w:rsidR="007E18F5">
        <w:t>"</w:t>
      </w:r>
      <w:r>
        <w:t xml:space="preserve"> if sharing costs were lower. The mean of all iterations thus is the percentage of cars for which </w:t>
      </w:r>
      <w:r w:rsidR="00443BD2">
        <w:t>carsharing</w:t>
      </w:r>
      <w:r>
        <w:t xml:space="preserve"> is financially cheaper. The simply model easily allows to add </w:t>
      </w:r>
      <w:r w:rsidR="005C30BE">
        <w:t xml:space="preserve">the </w:t>
      </w:r>
      <w:r>
        <w:t xml:space="preserve">costs </w:t>
      </w:r>
      <w:r w:rsidR="005C30BE">
        <w:t>of</w:t>
      </w:r>
      <w:r>
        <w:t xml:space="preserve"> lost convenience into </w:t>
      </w:r>
      <w:r w:rsidR="005C30BE">
        <w:t xml:space="preserve">equation </w:t>
      </w:r>
      <w:r>
        <w:t xml:space="preserve">(2), thus lowering the resulting percentage. </w:t>
      </w:r>
    </w:p>
    <w:p w:rsidR="002B4229" w:rsidRDefault="002B4229" w:rsidP="00E67DB8">
      <w:pPr>
        <w:pStyle w:val="Heading1"/>
      </w:pPr>
      <w:bookmarkStart w:id="10" w:name="_Toc263943203"/>
      <w:r>
        <w:t>Data sources:</w:t>
      </w:r>
      <w:bookmarkEnd w:id="10"/>
    </w:p>
    <w:p w:rsidR="002B4229" w:rsidRDefault="002B4229" w:rsidP="00E67DB8">
      <w:pPr>
        <w:pStyle w:val="Subtitle"/>
      </w:pPr>
      <w:r>
        <w:t>Tr</w:t>
      </w:r>
      <w:r w:rsidR="005C30BE">
        <w:t>ip J</w:t>
      </w:r>
      <w:r>
        <w:t>ournals:</w:t>
      </w:r>
    </w:p>
    <w:p w:rsidR="00A3490C" w:rsidRDefault="002B4229" w:rsidP="00AA4F47">
      <w:r>
        <w:t xml:space="preserve">No Israeli travel logs that contain both mileage and trip time </w:t>
      </w:r>
      <w:r w:rsidR="003B639C">
        <w:t>could be found</w:t>
      </w:r>
      <w:r>
        <w:t>.</w:t>
      </w:r>
      <w:r w:rsidR="003B639C">
        <w:t xml:space="preserve"> </w:t>
      </w:r>
      <w:r>
        <w:t xml:space="preserve">Instead, data from the American </w:t>
      </w:r>
      <w:r w:rsidR="003B639C">
        <w:t xml:space="preserve">National Household </w:t>
      </w:r>
      <w:r w:rsidR="00180EC0">
        <w:t xml:space="preserve">Transport </w:t>
      </w:r>
      <w:r w:rsidR="003B639C">
        <w:t>Survey</w:t>
      </w:r>
      <w:r>
        <w:t xml:space="preserve"> 2009 </w:t>
      </w:r>
      <w:r w:rsidR="003B639C">
        <w:t xml:space="preserve">(NHTS) </w:t>
      </w:r>
      <w:r>
        <w:t xml:space="preserve">was used. </w:t>
      </w:r>
      <w:r w:rsidR="00254820">
        <w:t>The transportation modes included for the</w:t>
      </w:r>
      <w:r w:rsidR="005C30BE">
        <w:t xml:space="preserve"> data</w:t>
      </w:r>
      <w:r w:rsidR="00254820">
        <w:t xml:space="preserve"> pool were cars, vans, SUVs and pick-up trucks. </w:t>
      </w:r>
      <w:r w:rsidR="0074099D">
        <w:t xml:space="preserve">Up to five vehicles per </w:t>
      </w:r>
      <w:r w:rsidR="0074099D">
        <w:lastRenderedPageBreak/>
        <w:t xml:space="preserve">household were accepted and additional household vehicles were filtered out. </w:t>
      </w:r>
      <w:r>
        <w:t xml:space="preserve">The data set was </w:t>
      </w:r>
      <w:r w:rsidR="0074099D">
        <w:t xml:space="preserve">further </w:t>
      </w:r>
      <w:r>
        <w:t>narrowed to i</w:t>
      </w:r>
      <w:r w:rsidR="00286701">
        <w:t>nclude only cars marked as originating in an urban area, an urban cluster or an area surrounded by urban areas</w:t>
      </w:r>
      <w:r>
        <w:t xml:space="preserve">. </w:t>
      </w:r>
      <w:r w:rsidR="00E83EFF">
        <w:t>In order to avoid double counts</w:t>
      </w:r>
      <w:r w:rsidR="003B639C">
        <w:t xml:space="preserve"> of time values</w:t>
      </w:r>
      <w:r w:rsidR="00E83EFF">
        <w:t xml:space="preserve">, only persons that were marked as the drivers in a specific trip were counted. The travel time, dwell time at the destination and vehicle mileage were summed up for every vehicle and day. </w:t>
      </w:r>
      <w:r>
        <w:t xml:space="preserve">The data was broken down into a pool of weekday trips and weekend trips. </w:t>
      </w:r>
      <w:r w:rsidR="00254820">
        <w:t xml:space="preserve">Eventually, the weekday pool contained </w:t>
      </w:r>
      <w:r w:rsidR="00475A22">
        <w:t xml:space="preserve">5236 travel logs, with 3006 out of them representing </w:t>
      </w:r>
      <w:r w:rsidR="005C30BE">
        <w:t xml:space="preserve">a household's </w:t>
      </w:r>
      <w:r w:rsidR="00475A22">
        <w:t xml:space="preserve">primary </w:t>
      </w:r>
      <w:r w:rsidR="00AA4F47">
        <w:t>vehicle</w:t>
      </w:r>
      <w:r w:rsidR="00475A22">
        <w:t>. The average travel time for each vehicle was one hour and 12 minutes</w:t>
      </w:r>
      <w:r w:rsidR="00AA4F47">
        <w:t xml:space="preserve"> per day</w:t>
      </w:r>
      <w:r w:rsidR="00475A22">
        <w:t xml:space="preserve">. The average dwell time at the destination was </w:t>
      </w:r>
      <w:r w:rsidR="003608E7">
        <w:t>6 hours and 34 minutes.</w:t>
      </w:r>
    </w:p>
    <w:p w:rsidR="0069062A" w:rsidRDefault="0069062A" w:rsidP="00AA4F47">
      <w:r>
        <w:t>For weekends (Saturday and Sunday), 1684 trips were logged</w:t>
      </w:r>
      <w:r w:rsidR="00992B9C">
        <w:t xml:space="preserve">, 986 out of them </w:t>
      </w:r>
      <w:r w:rsidR="00AA4F47">
        <w:t>representing</w:t>
      </w:r>
      <w:r w:rsidR="00992B9C">
        <w:t xml:space="preserve"> primary vehicles</w:t>
      </w:r>
      <w:r>
        <w:t xml:space="preserve">. They averaged </w:t>
      </w:r>
      <w:r w:rsidR="00AA4F47">
        <w:t>67 minutes of daily travel time and</w:t>
      </w:r>
      <w:r w:rsidR="00992B9C">
        <w:t xml:space="preserve"> 5 hours of dwelling time at the destination.</w:t>
      </w:r>
    </w:p>
    <w:p w:rsidR="002B4229" w:rsidRDefault="002B4229">
      <w:proofErr w:type="gramStart"/>
      <w:r>
        <w:t>For every iteration</w:t>
      </w:r>
      <w:proofErr w:type="gramEnd"/>
      <w:r>
        <w:t>, one of each was randomly chosen. Weekdays were multiplied by 260 and weekends by 104 in order to compute yearly costs. This assumes that each vehicle has a fixed itinerary both during the week (trips to work) and a fixed journey on weekends.</w:t>
      </w:r>
    </w:p>
    <w:p w:rsidR="002B4229" w:rsidRDefault="002B4229"/>
    <w:p w:rsidR="002B4229" w:rsidRDefault="00443BD2" w:rsidP="00E67DB8">
      <w:pPr>
        <w:pStyle w:val="Subtitle"/>
      </w:pPr>
      <w:r>
        <w:t>Carsharing</w:t>
      </w:r>
      <w:r w:rsidR="00AA4F47">
        <w:t xml:space="preserve"> </w:t>
      </w:r>
      <w:r w:rsidR="005C30BE">
        <w:t>P</w:t>
      </w:r>
      <w:r w:rsidR="002B4229">
        <w:t>rices</w:t>
      </w:r>
    </w:p>
    <w:p w:rsidR="00AA4F47" w:rsidRDefault="002B4229" w:rsidP="00301960">
      <w:r>
        <w:t>The current pricing of Car2Go, Israel</w:t>
      </w:r>
      <w:r w:rsidR="007968C4" w:rsidRPr="007968C4">
        <w:t>'</w:t>
      </w:r>
      <w:r>
        <w:t xml:space="preserve">s available </w:t>
      </w:r>
      <w:r w:rsidR="00443BD2">
        <w:t>carsharing</w:t>
      </w:r>
      <w:r>
        <w:t xml:space="preserve"> provider </w:t>
      </w:r>
      <w:r w:rsidR="007968C4">
        <w:t>was</w:t>
      </w:r>
      <w:r>
        <w:t xml:space="preserve"> used. Almost all cars offered belong to the cheapest class C, which consists of small cars such as Fiat 500, Peugeot 107, </w:t>
      </w:r>
      <w:proofErr w:type="gramStart"/>
      <w:r>
        <w:t>Nissan</w:t>
      </w:r>
      <w:proofErr w:type="gramEnd"/>
      <w:r>
        <w:t xml:space="preserve"> </w:t>
      </w:r>
      <w:proofErr w:type="spellStart"/>
      <w:r>
        <w:t>Micra</w:t>
      </w:r>
      <w:proofErr w:type="spellEnd"/>
      <w:r>
        <w:t xml:space="preserve"> etc. The simulation was designed to take account of the three different pricing tracks and to </w:t>
      </w:r>
      <w:r w:rsidR="007968C4">
        <w:t>choose</w:t>
      </w:r>
      <w:r>
        <w:t xml:space="preserve"> the cheapest </w:t>
      </w:r>
      <w:r w:rsidR="00AA4F47">
        <w:t>option</w:t>
      </w:r>
      <w:r>
        <w:t xml:space="preserve">. Due to the assumption of daily car use, almost all </w:t>
      </w:r>
      <w:r w:rsidR="003608E7">
        <w:t xml:space="preserve">results were based on the </w:t>
      </w:r>
      <w:r>
        <w:t>Valu</w:t>
      </w:r>
      <w:r w:rsidR="007968C4">
        <w:t>e+</w:t>
      </w:r>
      <w:r w:rsidR="003608E7">
        <w:t xml:space="preserve"> pricing plan fo</w:t>
      </w:r>
      <w:r w:rsidR="007968C4">
        <w:t>r intensive users</w:t>
      </w:r>
      <w:r>
        <w:t xml:space="preserve">. </w:t>
      </w:r>
    </w:p>
    <w:tbl>
      <w:tblPr>
        <w:tblW w:w="8330" w:type="dxa"/>
        <w:tblBorders>
          <w:top w:val="single" w:sz="8" w:space="0" w:color="000000"/>
          <w:bottom w:val="single" w:sz="8" w:space="0" w:color="000000"/>
        </w:tblBorders>
        <w:tblLook w:val="04A0" w:firstRow="1" w:lastRow="0" w:firstColumn="1" w:lastColumn="0" w:noHBand="0" w:noVBand="1"/>
      </w:tblPr>
      <w:tblGrid>
        <w:gridCol w:w="1384"/>
        <w:gridCol w:w="1701"/>
        <w:gridCol w:w="851"/>
        <w:gridCol w:w="1559"/>
        <w:gridCol w:w="1417"/>
        <w:gridCol w:w="1418"/>
      </w:tblGrid>
      <w:tr w:rsidR="007968C4" w:rsidRPr="007968C4" w:rsidTr="003608E7">
        <w:trPr>
          <w:trHeight w:val="273"/>
        </w:trPr>
        <w:tc>
          <w:tcPr>
            <w:tcW w:w="1384" w:type="dxa"/>
            <w:tcBorders>
              <w:top w:val="single" w:sz="8" w:space="0" w:color="000000"/>
              <w:left w:val="nil"/>
              <w:bottom w:val="single" w:sz="8" w:space="0" w:color="000000"/>
              <w:right w:val="nil"/>
            </w:tcBorders>
            <w:noWrap/>
            <w:hideMark/>
          </w:tcPr>
          <w:p w:rsidR="007968C4" w:rsidRPr="003608E7" w:rsidRDefault="003608E7" w:rsidP="002B4229">
            <w:pPr>
              <w:widowControl/>
              <w:suppressAutoHyphens w:val="0"/>
              <w:rPr>
                <w:rFonts w:ascii="Arial" w:eastAsia="Times New Roman" w:hAnsi="Arial" w:cs="Arial"/>
                <w:color w:val="000000"/>
                <w:kern w:val="0"/>
                <w:sz w:val="18"/>
                <w:szCs w:val="18"/>
                <w:lang w:eastAsia="en-US"/>
              </w:rPr>
            </w:pPr>
            <w:r w:rsidRPr="003608E7">
              <w:rPr>
                <w:rFonts w:ascii="Arial" w:eastAsia="Times New Roman" w:hAnsi="Arial" w:cs="Arial"/>
                <w:color w:val="000000"/>
                <w:kern w:val="0"/>
                <w:sz w:val="18"/>
                <w:szCs w:val="18"/>
                <w:lang w:eastAsia="en-US"/>
              </w:rPr>
              <w:t>All prices in NIS</w:t>
            </w:r>
            <w:r>
              <w:rPr>
                <w:rFonts w:ascii="Arial" w:eastAsia="Times New Roman" w:hAnsi="Arial" w:cs="Arial"/>
                <w:color w:val="000000"/>
                <w:kern w:val="0"/>
                <w:sz w:val="18"/>
                <w:szCs w:val="18"/>
                <w:lang w:eastAsia="en-US"/>
              </w:rPr>
              <w:t>, 1.2.2010</w:t>
            </w:r>
          </w:p>
        </w:tc>
        <w:tc>
          <w:tcPr>
            <w:tcW w:w="1701" w:type="dxa"/>
            <w:tcBorders>
              <w:top w:val="single" w:sz="8" w:space="0" w:color="000000"/>
              <w:left w:val="nil"/>
              <w:bottom w:val="single" w:sz="8" w:space="0" w:color="000000"/>
              <w:right w:val="nil"/>
            </w:tcBorders>
            <w:noWrap/>
            <w:hideMark/>
          </w:tcPr>
          <w:p w:rsidR="007968C4" w:rsidRPr="002B4229" w:rsidRDefault="007968C4" w:rsidP="002B4229">
            <w:pPr>
              <w:widowControl/>
              <w:suppressAutoHyphens w:val="0"/>
              <w:rPr>
                <w:rFonts w:ascii="Arial" w:eastAsia="Times New Roman" w:hAnsi="Arial" w:cs="Arial"/>
                <w:b/>
                <w:bCs/>
                <w:color w:val="000000"/>
                <w:kern w:val="0"/>
                <w:sz w:val="20"/>
                <w:szCs w:val="20"/>
                <w:lang w:eastAsia="en-US"/>
              </w:rPr>
            </w:pPr>
            <w:r w:rsidRPr="002B4229">
              <w:rPr>
                <w:rFonts w:ascii="Arial" w:eastAsia="Times New Roman" w:hAnsi="Arial" w:cs="Arial"/>
                <w:b/>
                <w:bCs/>
                <w:color w:val="000000"/>
                <w:kern w:val="0"/>
                <w:sz w:val="20"/>
                <w:szCs w:val="20"/>
                <w:lang w:eastAsia="en-US"/>
              </w:rPr>
              <w:t>Kilometer</w:t>
            </w:r>
            <w:r w:rsidR="003608E7">
              <w:rPr>
                <w:rFonts w:ascii="Arial" w:eastAsia="Times New Roman" w:hAnsi="Arial" w:cs="Arial"/>
                <w:b/>
                <w:bCs/>
                <w:color w:val="000000"/>
                <w:kern w:val="0"/>
                <w:sz w:val="20"/>
                <w:szCs w:val="20"/>
                <w:lang w:eastAsia="en-US"/>
              </w:rPr>
              <w:t xml:space="preserve"> rate</w:t>
            </w:r>
          </w:p>
          <w:p w:rsidR="007968C4" w:rsidRPr="007968C4" w:rsidRDefault="007968C4" w:rsidP="002B4229">
            <w:pPr>
              <w:widowControl/>
              <w:suppressAutoHyphens w:val="0"/>
              <w:rPr>
                <w:rFonts w:ascii="Arial" w:eastAsia="Times New Roman" w:hAnsi="Arial" w:cs="Arial"/>
                <w:b/>
                <w:bCs/>
                <w:color w:val="000000"/>
                <w:kern w:val="0"/>
                <w:sz w:val="20"/>
                <w:szCs w:val="20"/>
                <w:lang w:eastAsia="en-US"/>
              </w:rPr>
            </w:pPr>
            <w:r w:rsidRPr="007968C4">
              <w:rPr>
                <w:rFonts w:ascii="Arial" w:eastAsia="Times New Roman" w:hAnsi="Arial" w:cs="Arial"/>
                <w:b/>
                <w:bCs/>
                <w:color w:val="000000"/>
                <w:kern w:val="0"/>
                <w:sz w:val="20"/>
                <w:szCs w:val="20"/>
                <w:lang w:eastAsia="en-US"/>
              </w:rPr>
              <w:t>&lt;50 km</w:t>
            </w:r>
          </w:p>
        </w:tc>
        <w:tc>
          <w:tcPr>
            <w:tcW w:w="851" w:type="dxa"/>
            <w:tcBorders>
              <w:top w:val="single" w:sz="8" w:space="0" w:color="000000"/>
              <w:left w:val="nil"/>
              <w:bottom w:val="single" w:sz="8" w:space="0" w:color="000000"/>
              <w:right w:val="nil"/>
            </w:tcBorders>
            <w:noWrap/>
            <w:hideMark/>
          </w:tcPr>
          <w:p w:rsidR="007968C4" w:rsidRPr="002B4229" w:rsidRDefault="007968C4" w:rsidP="002B4229">
            <w:pPr>
              <w:widowControl/>
              <w:suppressAutoHyphens w:val="0"/>
              <w:rPr>
                <w:rFonts w:ascii="Arial" w:eastAsia="Times New Roman" w:hAnsi="Arial" w:cs="Arial"/>
                <w:b/>
                <w:bCs/>
                <w:color w:val="000000"/>
                <w:kern w:val="0"/>
                <w:sz w:val="20"/>
                <w:szCs w:val="20"/>
                <w:lang w:eastAsia="en-US"/>
              </w:rPr>
            </w:pPr>
          </w:p>
          <w:p w:rsidR="007968C4" w:rsidRPr="007968C4" w:rsidRDefault="007968C4" w:rsidP="002B4229">
            <w:pPr>
              <w:widowControl/>
              <w:suppressAutoHyphens w:val="0"/>
              <w:rPr>
                <w:rFonts w:ascii="Arial" w:eastAsia="Times New Roman" w:hAnsi="Arial" w:cs="Arial"/>
                <w:b/>
                <w:bCs/>
                <w:color w:val="000000"/>
                <w:kern w:val="0"/>
                <w:sz w:val="20"/>
                <w:szCs w:val="20"/>
                <w:lang w:eastAsia="en-US"/>
              </w:rPr>
            </w:pPr>
            <w:r w:rsidRPr="007968C4">
              <w:rPr>
                <w:rFonts w:ascii="Arial" w:eastAsia="Times New Roman" w:hAnsi="Arial" w:cs="Arial"/>
                <w:b/>
                <w:bCs/>
                <w:color w:val="000000"/>
                <w:kern w:val="0"/>
                <w:sz w:val="20"/>
                <w:szCs w:val="20"/>
                <w:lang w:eastAsia="en-US"/>
              </w:rPr>
              <w:t>&gt;50km</w:t>
            </w:r>
          </w:p>
        </w:tc>
        <w:tc>
          <w:tcPr>
            <w:tcW w:w="1559" w:type="dxa"/>
            <w:tcBorders>
              <w:top w:val="single" w:sz="8" w:space="0" w:color="000000"/>
              <w:left w:val="nil"/>
              <w:bottom w:val="single" w:sz="8" w:space="0" w:color="000000"/>
              <w:right w:val="nil"/>
            </w:tcBorders>
            <w:noWrap/>
            <w:hideMark/>
          </w:tcPr>
          <w:p w:rsidR="007968C4" w:rsidRPr="002B4229" w:rsidRDefault="007968C4" w:rsidP="002B4229">
            <w:pPr>
              <w:widowControl/>
              <w:suppressAutoHyphens w:val="0"/>
              <w:rPr>
                <w:rFonts w:ascii="Arial" w:eastAsia="Times New Roman" w:hAnsi="Arial" w:cs="Arial"/>
                <w:b/>
                <w:bCs/>
                <w:color w:val="000000"/>
                <w:kern w:val="0"/>
                <w:sz w:val="20"/>
                <w:szCs w:val="20"/>
                <w:lang w:eastAsia="en-US"/>
              </w:rPr>
            </w:pPr>
            <w:r w:rsidRPr="002B4229">
              <w:rPr>
                <w:rFonts w:ascii="Arial" w:eastAsia="Times New Roman" w:hAnsi="Arial" w:cs="Arial"/>
                <w:b/>
                <w:bCs/>
                <w:color w:val="000000"/>
                <w:kern w:val="0"/>
                <w:sz w:val="20"/>
                <w:szCs w:val="20"/>
                <w:lang w:eastAsia="en-US"/>
              </w:rPr>
              <w:t>Hourly rate</w:t>
            </w:r>
          </w:p>
          <w:p w:rsidR="007968C4" w:rsidRPr="007968C4" w:rsidRDefault="007968C4" w:rsidP="002B4229">
            <w:pPr>
              <w:widowControl/>
              <w:suppressAutoHyphens w:val="0"/>
              <w:rPr>
                <w:rFonts w:ascii="Arial" w:eastAsia="Times New Roman" w:hAnsi="Arial" w:cs="Arial"/>
                <w:b/>
                <w:bCs/>
                <w:color w:val="000000"/>
                <w:kern w:val="0"/>
                <w:sz w:val="20"/>
                <w:szCs w:val="20"/>
                <w:lang w:val="de-CH" w:eastAsia="en-US"/>
              </w:rPr>
            </w:pPr>
            <w:r w:rsidRPr="002B4229">
              <w:rPr>
                <w:rFonts w:ascii="Arial" w:eastAsia="Times New Roman" w:hAnsi="Arial" w:cs="Arial"/>
                <w:b/>
                <w:bCs/>
                <w:color w:val="000000"/>
                <w:kern w:val="0"/>
                <w:sz w:val="20"/>
                <w:szCs w:val="20"/>
                <w:lang w:val="de-CH" w:eastAsia="en-US"/>
              </w:rPr>
              <w:t>(</w:t>
            </w:r>
            <w:r w:rsidRPr="007968C4">
              <w:rPr>
                <w:rFonts w:ascii="Arial" w:eastAsia="Times New Roman" w:hAnsi="Arial" w:cs="Arial"/>
                <w:b/>
                <w:bCs/>
                <w:color w:val="000000"/>
                <w:kern w:val="0"/>
                <w:sz w:val="20"/>
                <w:szCs w:val="20"/>
                <w:lang w:eastAsia="en-US"/>
              </w:rPr>
              <w:t>Weekday</w:t>
            </w:r>
            <w:r w:rsidRPr="002B4229">
              <w:rPr>
                <w:rFonts w:ascii="Arial" w:eastAsia="Times New Roman" w:hAnsi="Arial" w:cs="Arial"/>
                <w:b/>
                <w:bCs/>
                <w:color w:val="000000"/>
                <w:kern w:val="0"/>
                <w:sz w:val="20"/>
                <w:szCs w:val="20"/>
                <w:lang w:val="de-CH" w:eastAsia="en-US"/>
              </w:rPr>
              <w:t>)</w:t>
            </w:r>
          </w:p>
        </w:tc>
        <w:tc>
          <w:tcPr>
            <w:tcW w:w="1417" w:type="dxa"/>
            <w:tcBorders>
              <w:top w:val="single" w:sz="8" w:space="0" w:color="000000"/>
              <w:left w:val="nil"/>
              <w:bottom w:val="single" w:sz="8" w:space="0" w:color="000000"/>
              <w:right w:val="nil"/>
            </w:tcBorders>
            <w:noWrap/>
            <w:hideMark/>
          </w:tcPr>
          <w:p w:rsidR="007968C4" w:rsidRPr="002B4229" w:rsidRDefault="007968C4" w:rsidP="002B4229">
            <w:pPr>
              <w:widowControl/>
              <w:suppressAutoHyphens w:val="0"/>
              <w:rPr>
                <w:rFonts w:ascii="Arial" w:eastAsia="Times New Roman" w:hAnsi="Arial" w:cs="Arial"/>
                <w:b/>
                <w:bCs/>
                <w:color w:val="000000"/>
                <w:kern w:val="0"/>
                <w:sz w:val="20"/>
                <w:szCs w:val="20"/>
                <w:lang w:val="de-CH" w:eastAsia="en-US"/>
              </w:rPr>
            </w:pPr>
            <w:r w:rsidRPr="002B4229">
              <w:rPr>
                <w:rFonts w:ascii="Arial" w:eastAsia="Times New Roman" w:hAnsi="Arial" w:cs="Arial"/>
                <w:b/>
                <w:bCs/>
                <w:color w:val="000000"/>
                <w:kern w:val="0"/>
                <w:sz w:val="20"/>
                <w:szCs w:val="20"/>
                <w:lang w:eastAsia="en-US"/>
              </w:rPr>
              <w:t>Hourly rate</w:t>
            </w:r>
          </w:p>
          <w:p w:rsidR="007968C4" w:rsidRPr="007968C4" w:rsidRDefault="007968C4" w:rsidP="002B4229">
            <w:pPr>
              <w:widowControl/>
              <w:suppressAutoHyphens w:val="0"/>
              <w:rPr>
                <w:rFonts w:ascii="Arial" w:eastAsia="Times New Roman" w:hAnsi="Arial" w:cs="Arial"/>
                <w:b/>
                <w:bCs/>
                <w:color w:val="000000"/>
                <w:kern w:val="0"/>
                <w:sz w:val="20"/>
                <w:szCs w:val="20"/>
                <w:lang w:val="de-CH" w:eastAsia="en-US"/>
              </w:rPr>
            </w:pPr>
            <w:r w:rsidRPr="002B4229">
              <w:rPr>
                <w:rFonts w:ascii="Arial" w:eastAsia="Times New Roman" w:hAnsi="Arial" w:cs="Arial"/>
                <w:b/>
                <w:bCs/>
                <w:color w:val="000000"/>
                <w:kern w:val="0"/>
                <w:sz w:val="20"/>
                <w:szCs w:val="20"/>
                <w:lang w:eastAsia="en-US"/>
              </w:rPr>
              <w:t>(</w:t>
            </w:r>
            <w:r w:rsidRPr="007968C4">
              <w:rPr>
                <w:rFonts w:ascii="Arial" w:eastAsia="Times New Roman" w:hAnsi="Arial" w:cs="Arial"/>
                <w:b/>
                <w:bCs/>
                <w:color w:val="000000"/>
                <w:kern w:val="0"/>
                <w:sz w:val="20"/>
                <w:szCs w:val="20"/>
                <w:lang w:eastAsia="en-US"/>
              </w:rPr>
              <w:t>Weekend</w:t>
            </w:r>
            <w:r w:rsidRPr="002B4229">
              <w:rPr>
                <w:rFonts w:ascii="Arial" w:eastAsia="Times New Roman" w:hAnsi="Arial" w:cs="Arial"/>
                <w:b/>
                <w:bCs/>
                <w:color w:val="000000"/>
                <w:kern w:val="0"/>
                <w:sz w:val="20"/>
                <w:szCs w:val="20"/>
                <w:lang w:val="de-CH" w:eastAsia="en-US"/>
              </w:rPr>
              <w:t>)</w:t>
            </w:r>
          </w:p>
        </w:tc>
        <w:tc>
          <w:tcPr>
            <w:tcW w:w="1418" w:type="dxa"/>
            <w:tcBorders>
              <w:top w:val="single" w:sz="8" w:space="0" w:color="000000"/>
              <w:left w:val="nil"/>
              <w:bottom w:val="single" w:sz="8" w:space="0" w:color="000000"/>
              <w:right w:val="nil"/>
            </w:tcBorders>
            <w:noWrap/>
            <w:hideMark/>
          </w:tcPr>
          <w:p w:rsidR="007968C4" w:rsidRPr="007968C4" w:rsidRDefault="007968C4" w:rsidP="002B4229">
            <w:pPr>
              <w:widowControl/>
              <w:suppressAutoHyphens w:val="0"/>
              <w:rPr>
                <w:rFonts w:ascii="Arial" w:eastAsia="Times New Roman" w:hAnsi="Arial" w:cs="Arial"/>
                <w:b/>
                <w:bCs/>
                <w:color w:val="000000"/>
                <w:kern w:val="0"/>
                <w:sz w:val="20"/>
                <w:szCs w:val="20"/>
                <w:lang w:eastAsia="en-US"/>
              </w:rPr>
            </w:pPr>
            <w:r w:rsidRPr="007968C4">
              <w:rPr>
                <w:rFonts w:ascii="Arial" w:eastAsia="Times New Roman" w:hAnsi="Arial" w:cs="Arial"/>
                <w:b/>
                <w:bCs/>
                <w:color w:val="000000"/>
                <w:kern w:val="0"/>
                <w:sz w:val="20"/>
                <w:szCs w:val="20"/>
                <w:lang w:eastAsia="en-US"/>
              </w:rPr>
              <w:t>Monthly Fee</w:t>
            </w:r>
          </w:p>
        </w:tc>
      </w:tr>
      <w:tr w:rsidR="007968C4" w:rsidRPr="002B4229" w:rsidTr="003608E7">
        <w:trPr>
          <w:trHeight w:val="273"/>
        </w:trPr>
        <w:tc>
          <w:tcPr>
            <w:tcW w:w="1384" w:type="dxa"/>
            <w:tcBorders>
              <w:left w:val="nil"/>
              <w:right w:val="nil"/>
            </w:tcBorders>
            <w:shd w:val="clear" w:color="auto" w:fill="C0C0C0"/>
            <w:noWrap/>
            <w:hideMark/>
          </w:tcPr>
          <w:p w:rsidR="007968C4" w:rsidRPr="007968C4" w:rsidRDefault="007968C4" w:rsidP="002B4229">
            <w:pPr>
              <w:widowControl/>
              <w:suppressAutoHyphens w:val="0"/>
              <w:rPr>
                <w:rFonts w:ascii="Arial" w:eastAsia="Times New Roman" w:hAnsi="Arial" w:cs="Arial"/>
                <w:b/>
                <w:bCs/>
                <w:color w:val="000000"/>
                <w:kern w:val="0"/>
                <w:sz w:val="20"/>
                <w:szCs w:val="20"/>
                <w:lang w:eastAsia="en-US"/>
              </w:rPr>
            </w:pPr>
            <w:r w:rsidRPr="007968C4">
              <w:rPr>
                <w:rFonts w:ascii="Arial" w:eastAsia="Times New Roman" w:hAnsi="Arial" w:cs="Arial"/>
                <w:b/>
                <w:bCs/>
                <w:color w:val="000000"/>
                <w:kern w:val="0"/>
                <w:sz w:val="20"/>
                <w:szCs w:val="20"/>
                <w:lang w:eastAsia="en-US"/>
              </w:rPr>
              <w:t>Go</w:t>
            </w:r>
          </w:p>
        </w:tc>
        <w:tc>
          <w:tcPr>
            <w:tcW w:w="1701" w:type="dxa"/>
            <w:tcBorders>
              <w:left w:val="nil"/>
              <w:right w:val="nil"/>
            </w:tcBorders>
            <w:shd w:val="clear" w:color="auto" w:fill="C0C0C0"/>
            <w:noWrap/>
            <w:hideMark/>
          </w:tcPr>
          <w:p w:rsidR="007968C4" w:rsidRPr="007968C4" w:rsidRDefault="007968C4" w:rsidP="002B4229">
            <w:pPr>
              <w:widowControl/>
              <w:suppressAutoHyphens w:val="0"/>
              <w:jc w:val="center"/>
              <w:rPr>
                <w:rFonts w:ascii="Arial" w:eastAsia="Times New Roman" w:hAnsi="Arial" w:cs="Arial"/>
                <w:color w:val="000000"/>
                <w:kern w:val="0"/>
                <w:sz w:val="20"/>
                <w:szCs w:val="20"/>
                <w:lang w:eastAsia="en-US"/>
              </w:rPr>
            </w:pPr>
            <w:r w:rsidRPr="007968C4">
              <w:rPr>
                <w:rFonts w:ascii="Arial" w:eastAsia="Times New Roman" w:hAnsi="Arial" w:cs="Arial"/>
                <w:color w:val="000000"/>
                <w:kern w:val="0"/>
                <w:sz w:val="20"/>
                <w:szCs w:val="20"/>
                <w:lang w:eastAsia="en-US"/>
              </w:rPr>
              <w:t>1.8</w:t>
            </w:r>
          </w:p>
        </w:tc>
        <w:tc>
          <w:tcPr>
            <w:tcW w:w="851" w:type="dxa"/>
            <w:tcBorders>
              <w:left w:val="nil"/>
              <w:right w:val="nil"/>
            </w:tcBorders>
            <w:shd w:val="clear" w:color="auto" w:fill="C0C0C0"/>
            <w:noWrap/>
            <w:hideMark/>
          </w:tcPr>
          <w:p w:rsidR="007968C4" w:rsidRPr="007968C4" w:rsidRDefault="007968C4" w:rsidP="002B4229">
            <w:pPr>
              <w:widowControl/>
              <w:suppressAutoHyphens w:val="0"/>
              <w:jc w:val="center"/>
              <w:rPr>
                <w:rFonts w:ascii="Arial" w:eastAsia="Times New Roman" w:hAnsi="Arial" w:cs="Arial"/>
                <w:color w:val="000000"/>
                <w:kern w:val="0"/>
                <w:sz w:val="20"/>
                <w:szCs w:val="20"/>
                <w:lang w:eastAsia="en-US"/>
              </w:rPr>
            </w:pPr>
            <w:r w:rsidRPr="007968C4">
              <w:rPr>
                <w:rFonts w:ascii="Arial" w:eastAsia="Times New Roman" w:hAnsi="Arial" w:cs="Arial"/>
                <w:color w:val="000000"/>
                <w:kern w:val="0"/>
                <w:sz w:val="20"/>
                <w:szCs w:val="20"/>
                <w:lang w:eastAsia="en-US"/>
              </w:rPr>
              <w:t>1.1</w:t>
            </w:r>
          </w:p>
        </w:tc>
        <w:tc>
          <w:tcPr>
            <w:tcW w:w="1559" w:type="dxa"/>
            <w:tcBorders>
              <w:left w:val="nil"/>
              <w:right w:val="nil"/>
            </w:tcBorders>
            <w:shd w:val="clear" w:color="auto" w:fill="C0C0C0"/>
            <w:noWrap/>
            <w:hideMark/>
          </w:tcPr>
          <w:p w:rsidR="007968C4" w:rsidRPr="007968C4" w:rsidRDefault="007968C4" w:rsidP="002B4229">
            <w:pPr>
              <w:widowControl/>
              <w:suppressAutoHyphens w:val="0"/>
              <w:jc w:val="center"/>
              <w:rPr>
                <w:rFonts w:ascii="Arial" w:eastAsia="Times New Roman" w:hAnsi="Arial" w:cs="Arial"/>
                <w:color w:val="000000"/>
                <w:kern w:val="0"/>
                <w:sz w:val="20"/>
                <w:szCs w:val="20"/>
                <w:lang w:eastAsia="en-US"/>
              </w:rPr>
            </w:pPr>
            <w:r w:rsidRPr="007968C4">
              <w:rPr>
                <w:rFonts w:ascii="Arial" w:eastAsia="Times New Roman" w:hAnsi="Arial" w:cs="Arial"/>
                <w:color w:val="000000"/>
                <w:kern w:val="0"/>
                <w:sz w:val="20"/>
                <w:szCs w:val="20"/>
                <w:lang w:eastAsia="en-US"/>
              </w:rPr>
              <w:t>15</w:t>
            </w:r>
          </w:p>
        </w:tc>
        <w:tc>
          <w:tcPr>
            <w:tcW w:w="1417" w:type="dxa"/>
            <w:tcBorders>
              <w:left w:val="nil"/>
              <w:right w:val="nil"/>
            </w:tcBorders>
            <w:shd w:val="clear" w:color="auto" w:fill="C0C0C0"/>
            <w:noWrap/>
            <w:hideMark/>
          </w:tcPr>
          <w:p w:rsidR="007968C4" w:rsidRPr="007968C4" w:rsidRDefault="007968C4" w:rsidP="002B4229">
            <w:pPr>
              <w:widowControl/>
              <w:suppressAutoHyphens w:val="0"/>
              <w:jc w:val="center"/>
              <w:rPr>
                <w:rFonts w:ascii="Arial" w:eastAsia="Times New Roman" w:hAnsi="Arial" w:cs="Arial"/>
                <w:color w:val="000000"/>
                <w:kern w:val="0"/>
                <w:sz w:val="20"/>
                <w:szCs w:val="20"/>
                <w:lang w:eastAsia="en-US"/>
              </w:rPr>
            </w:pPr>
            <w:r w:rsidRPr="007968C4">
              <w:rPr>
                <w:rFonts w:ascii="Arial" w:eastAsia="Times New Roman" w:hAnsi="Arial" w:cs="Arial"/>
                <w:color w:val="000000"/>
                <w:kern w:val="0"/>
                <w:sz w:val="20"/>
                <w:szCs w:val="20"/>
                <w:lang w:eastAsia="en-US"/>
              </w:rPr>
              <w:t>18</w:t>
            </w:r>
          </w:p>
        </w:tc>
        <w:tc>
          <w:tcPr>
            <w:tcW w:w="1418" w:type="dxa"/>
            <w:tcBorders>
              <w:left w:val="nil"/>
              <w:right w:val="nil"/>
            </w:tcBorders>
            <w:shd w:val="clear" w:color="auto" w:fill="C0C0C0"/>
            <w:noWrap/>
            <w:hideMark/>
          </w:tcPr>
          <w:p w:rsidR="007968C4" w:rsidRPr="007968C4" w:rsidRDefault="003608E7" w:rsidP="002B4229">
            <w:pPr>
              <w:widowControl/>
              <w:suppressAutoHyphens w:val="0"/>
              <w:jc w:val="center"/>
              <w:rPr>
                <w:rFonts w:ascii="Arial" w:eastAsia="Times New Roman" w:hAnsi="Arial" w:cs="Arial"/>
                <w:color w:val="000000"/>
                <w:kern w:val="0"/>
                <w:sz w:val="20"/>
                <w:szCs w:val="20"/>
                <w:lang w:eastAsia="en-US"/>
              </w:rPr>
            </w:pPr>
            <w:r>
              <w:rPr>
                <w:rFonts w:ascii="Arial" w:eastAsia="Times New Roman" w:hAnsi="Arial" w:cs="Arial"/>
                <w:color w:val="000000"/>
                <w:kern w:val="0"/>
                <w:sz w:val="20"/>
                <w:szCs w:val="20"/>
                <w:lang w:eastAsia="en-US"/>
              </w:rPr>
              <w:t>0</w:t>
            </w:r>
          </w:p>
        </w:tc>
      </w:tr>
      <w:tr w:rsidR="007968C4" w:rsidRPr="002B4229" w:rsidTr="003608E7">
        <w:trPr>
          <w:trHeight w:val="273"/>
        </w:trPr>
        <w:tc>
          <w:tcPr>
            <w:tcW w:w="1384" w:type="dxa"/>
            <w:noWrap/>
            <w:hideMark/>
          </w:tcPr>
          <w:p w:rsidR="007968C4" w:rsidRPr="007968C4" w:rsidRDefault="007968C4" w:rsidP="002B4229">
            <w:pPr>
              <w:widowControl/>
              <w:suppressAutoHyphens w:val="0"/>
              <w:rPr>
                <w:rFonts w:ascii="Arial" w:eastAsia="Times New Roman" w:hAnsi="Arial" w:cs="Arial"/>
                <w:b/>
                <w:bCs/>
                <w:color w:val="000000"/>
                <w:kern w:val="0"/>
                <w:sz w:val="20"/>
                <w:szCs w:val="20"/>
                <w:lang w:eastAsia="en-US"/>
              </w:rPr>
            </w:pPr>
            <w:r w:rsidRPr="007968C4">
              <w:rPr>
                <w:rFonts w:ascii="Arial" w:eastAsia="Times New Roman" w:hAnsi="Arial" w:cs="Arial"/>
                <w:b/>
                <w:bCs/>
                <w:color w:val="000000"/>
                <w:kern w:val="0"/>
                <w:sz w:val="20"/>
                <w:szCs w:val="20"/>
                <w:lang w:eastAsia="en-US"/>
              </w:rPr>
              <w:t>Value</w:t>
            </w:r>
          </w:p>
        </w:tc>
        <w:tc>
          <w:tcPr>
            <w:tcW w:w="1701" w:type="dxa"/>
            <w:noWrap/>
            <w:hideMark/>
          </w:tcPr>
          <w:p w:rsidR="007968C4" w:rsidRPr="007968C4" w:rsidRDefault="007968C4" w:rsidP="002B4229">
            <w:pPr>
              <w:widowControl/>
              <w:suppressAutoHyphens w:val="0"/>
              <w:jc w:val="center"/>
              <w:rPr>
                <w:rFonts w:ascii="Arial" w:eastAsia="Times New Roman" w:hAnsi="Arial" w:cs="Arial"/>
                <w:color w:val="000000"/>
                <w:kern w:val="0"/>
                <w:sz w:val="20"/>
                <w:szCs w:val="20"/>
                <w:lang w:eastAsia="en-US"/>
              </w:rPr>
            </w:pPr>
            <w:r w:rsidRPr="007968C4">
              <w:rPr>
                <w:rFonts w:ascii="Arial" w:eastAsia="Times New Roman" w:hAnsi="Arial" w:cs="Arial"/>
                <w:color w:val="000000"/>
                <w:kern w:val="0"/>
                <w:sz w:val="20"/>
                <w:szCs w:val="20"/>
                <w:lang w:eastAsia="en-US"/>
              </w:rPr>
              <w:t>1.5</w:t>
            </w:r>
          </w:p>
        </w:tc>
        <w:tc>
          <w:tcPr>
            <w:tcW w:w="851" w:type="dxa"/>
            <w:noWrap/>
            <w:hideMark/>
          </w:tcPr>
          <w:p w:rsidR="007968C4" w:rsidRPr="007968C4" w:rsidRDefault="007968C4" w:rsidP="002B4229">
            <w:pPr>
              <w:widowControl/>
              <w:suppressAutoHyphens w:val="0"/>
              <w:jc w:val="center"/>
              <w:rPr>
                <w:rFonts w:ascii="Arial" w:eastAsia="Times New Roman" w:hAnsi="Arial" w:cs="Arial"/>
                <w:color w:val="000000"/>
                <w:kern w:val="0"/>
                <w:sz w:val="20"/>
                <w:szCs w:val="20"/>
                <w:lang w:eastAsia="en-US"/>
              </w:rPr>
            </w:pPr>
            <w:r w:rsidRPr="007968C4">
              <w:rPr>
                <w:rFonts w:ascii="Arial" w:eastAsia="Times New Roman" w:hAnsi="Arial" w:cs="Arial"/>
                <w:color w:val="000000"/>
                <w:kern w:val="0"/>
                <w:sz w:val="20"/>
                <w:szCs w:val="20"/>
                <w:lang w:eastAsia="en-US"/>
              </w:rPr>
              <w:t>0.99</w:t>
            </w:r>
          </w:p>
        </w:tc>
        <w:tc>
          <w:tcPr>
            <w:tcW w:w="1559" w:type="dxa"/>
            <w:noWrap/>
            <w:hideMark/>
          </w:tcPr>
          <w:p w:rsidR="007968C4" w:rsidRPr="007968C4" w:rsidRDefault="007968C4" w:rsidP="002B4229">
            <w:pPr>
              <w:widowControl/>
              <w:suppressAutoHyphens w:val="0"/>
              <w:jc w:val="center"/>
              <w:rPr>
                <w:rFonts w:ascii="Arial" w:eastAsia="Times New Roman" w:hAnsi="Arial" w:cs="Arial"/>
                <w:color w:val="000000"/>
                <w:kern w:val="0"/>
                <w:sz w:val="20"/>
                <w:szCs w:val="20"/>
                <w:lang w:eastAsia="en-US"/>
              </w:rPr>
            </w:pPr>
            <w:r w:rsidRPr="007968C4">
              <w:rPr>
                <w:rFonts w:ascii="Arial" w:eastAsia="Times New Roman" w:hAnsi="Arial" w:cs="Arial"/>
                <w:color w:val="000000"/>
                <w:kern w:val="0"/>
                <w:sz w:val="20"/>
                <w:szCs w:val="20"/>
                <w:lang w:eastAsia="en-US"/>
              </w:rPr>
              <w:t>11</w:t>
            </w:r>
          </w:p>
        </w:tc>
        <w:tc>
          <w:tcPr>
            <w:tcW w:w="1417" w:type="dxa"/>
            <w:noWrap/>
            <w:hideMark/>
          </w:tcPr>
          <w:p w:rsidR="007968C4" w:rsidRPr="007968C4" w:rsidRDefault="007968C4" w:rsidP="002B4229">
            <w:pPr>
              <w:widowControl/>
              <w:suppressAutoHyphens w:val="0"/>
              <w:jc w:val="center"/>
              <w:rPr>
                <w:rFonts w:ascii="Arial" w:eastAsia="Times New Roman" w:hAnsi="Arial" w:cs="Arial"/>
                <w:color w:val="000000"/>
                <w:kern w:val="0"/>
                <w:sz w:val="20"/>
                <w:szCs w:val="20"/>
                <w:lang w:eastAsia="en-US"/>
              </w:rPr>
            </w:pPr>
            <w:r w:rsidRPr="007968C4">
              <w:rPr>
                <w:rFonts w:ascii="Arial" w:eastAsia="Times New Roman" w:hAnsi="Arial" w:cs="Arial"/>
                <w:color w:val="000000"/>
                <w:kern w:val="0"/>
                <w:sz w:val="20"/>
                <w:szCs w:val="20"/>
                <w:lang w:eastAsia="en-US"/>
              </w:rPr>
              <w:t>15</w:t>
            </w:r>
          </w:p>
        </w:tc>
        <w:tc>
          <w:tcPr>
            <w:tcW w:w="1418" w:type="dxa"/>
            <w:noWrap/>
            <w:hideMark/>
          </w:tcPr>
          <w:p w:rsidR="007968C4" w:rsidRPr="007968C4" w:rsidRDefault="007968C4" w:rsidP="002B4229">
            <w:pPr>
              <w:widowControl/>
              <w:suppressAutoHyphens w:val="0"/>
              <w:jc w:val="center"/>
              <w:rPr>
                <w:rFonts w:ascii="Arial" w:eastAsia="Times New Roman" w:hAnsi="Arial" w:cs="Arial"/>
                <w:color w:val="000000"/>
                <w:kern w:val="0"/>
                <w:sz w:val="20"/>
                <w:szCs w:val="20"/>
                <w:lang w:eastAsia="en-US"/>
              </w:rPr>
            </w:pPr>
            <w:r w:rsidRPr="007968C4">
              <w:rPr>
                <w:rFonts w:ascii="Arial" w:eastAsia="Times New Roman" w:hAnsi="Arial" w:cs="Arial"/>
                <w:color w:val="000000"/>
                <w:kern w:val="0"/>
                <w:sz w:val="20"/>
                <w:szCs w:val="20"/>
                <w:lang w:eastAsia="en-US"/>
              </w:rPr>
              <w:t>99</w:t>
            </w:r>
          </w:p>
        </w:tc>
      </w:tr>
      <w:tr w:rsidR="007968C4" w:rsidRPr="002B4229" w:rsidTr="003608E7">
        <w:trPr>
          <w:trHeight w:val="273"/>
        </w:trPr>
        <w:tc>
          <w:tcPr>
            <w:tcW w:w="1384" w:type="dxa"/>
            <w:tcBorders>
              <w:left w:val="nil"/>
              <w:right w:val="nil"/>
            </w:tcBorders>
            <w:shd w:val="clear" w:color="auto" w:fill="C0C0C0"/>
            <w:noWrap/>
            <w:hideMark/>
          </w:tcPr>
          <w:p w:rsidR="007968C4" w:rsidRPr="007968C4" w:rsidRDefault="007968C4" w:rsidP="002B4229">
            <w:pPr>
              <w:widowControl/>
              <w:suppressAutoHyphens w:val="0"/>
              <w:rPr>
                <w:rFonts w:ascii="Arial" w:eastAsia="Times New Roman" w:hAnsi="Arial" w:cs="Arial"/>
                <w:b/>
                <w:bCs/>
                <w:color w:val="000000"/>
                <w:kern w:val="0"/>
                <w:sz w:val="20"/>
                <w:szCs w:val="20"/>
                <w:lang w:val="de-CH" w:eastAsia="en-US"/>
              </w:rPr>
            </w:pPr>
            <w:r w:rsidRPr="007968C4">
              <w:rPr>
                <w:rFonts w:ascii="Arial" w:eastAsia="Times New Roman" w:hAnsi="Arial" w:cs="Arial"/>
                <w:b/>
                <w:bCs/>
                <w:color w:val="000000"/>
                <w:kern w:val="0"/>
                <w:sz w:val="20"/>
                <w:szCs w:val="20"/>
                <w:lang w:eastAsia="en-US"/>
              </w:rPr>
              <w:t>Value</w:t>
            </w:r>
            <w:r w:rsidRPr="002B4229">
              <w:rPr>
                <w:rFonts w:ascii="Arial" w:eastAsia="Times New Roman" w:hAnsi="Arial" w:cs="Arial"/>
                <w:b/>
                <w:bCs/>
                <w:color w:val="000000"/>
                <w:kern w:val="0"/>
                <w:sz w:val="20"/>
                <w:szCs w:val="20"/>
                <w:lang w:val="de-CH" w:eastAsia="en-US"/>
              </w:rPr>
              <w:t>+</w:t>
            </w:r>
          </w:p>
        </w:tc>
        <w:tc>
          <w:tcPr>
            <w:tcW w:w="1701" w:type="dxa"/>
            <w:tcBorders>
              <w:left w:val="nil"/>
              <w:right w:val="nil"/>
            </w:tcBorders>
            <w:shd w:val="clear" w:color="auto" w:fill="C0C0C0"/>
            <w:noWrap/>
            <w:hideMark/>
          </w:tcPr>
          <w:p w:rsidR="007968C4" w:rsidRPr="007968C4" w:rsidRDefault="007968C4" w:rsidP="002B4229">
            <w:pPr>
              <w:widowControl/>
              <w:suppressAutoHyphens w:val="0"/>
              <w:jc w:val="center"/>
              <w:rPr>
                <w:rFonts w:ascii="Arial" w:eastAsia="Times New Roman" w:hAnsi="Arial" w:cs="Arial"/>
                <w:color w:val="000000"/>
                <w:kern w:val="0"/>
                <w:sz w:val="20"/>
                <w:szCs w:val="20"/>
                <w:lang w:eastAsia="en-US"/>
              </w:rPr>
            </w:pPr>
            <w:r w:rsidRPr="007968C4">
              <w:rPr>
                <w:rFonts w:ascii="Arial" w:eastAsia="Times New Roman" w:hAnsi="Arial" w:cs="Arial"/>
                <w:color w:val="000000"/>
                <w:kern w:val="0"/>
                <w:sz w:val="20"/>
                <w:szCs w:val="20"/>
                <w:lang w:eastAsia="en-US"/>
              </w:rPr>
              <w:t>0.95</w:t>
            </w:r>
          </w:p>
        </w:tc>
        <w:tc>
          <w:tcPr>
            <w:tcW w:w="851" w:type="dxa"/>
            <w:tcBorders>
              <w:left w:val="nil"/>
              <w:right w:val="nil"/>
            </w:tcBorders>
            <w:shd w:val="clear" w:color="auto" w:fill="C0C0C0"/>
            <w:noWrap/>
            <w:hideMark/>
          </w:tcPr>
          <w:p w:rsidR="007968C4" w:rsidRPr="007968C4" w:rsidRDefault="007968C4" w:rsidP="002B4229">
            <w:pPr>
              <w:widowControl/>
              <w:suppressAutoHyphens w:val="0"/>
              <w:jc w:val="center"/>
              <w:rPr>
                <w:rFonts w:ascii="Arial" w:eastAsia="Times New Roman" w:hAnsi="Arial" w:cs="Arial"/>
                <w:color w:val="000000"/>
                <w:kern w:val="0"/>
                <w:sz w:val="20"/>
                <w:szCs w:val="20"/>
                <w:lang w:eastAsia="en-US"/>
              </w:rPr>
            </w:pPr>
            <w:r w:rsidRPr="007968C4">
              <w:rPr>
                <w:rFonts w:ascii="Arial" w:eastAsia="Times New Roman" w:hAnsi="Arial" w:cs="Arial"/>
                <w:color w:val="000000"/>
                <w:kern w:val="0"/>
                <w:sz w:val="20"/>
                <w:szCs w:val="20"/>
                <w:lang w:eastAsia="en-US"/>
              </w:rPr>
              <w:t>0.95</w:t>
            </w:r>
          </w:p>
        </w:tc>
        <w:tc>
          <w:tcPr>
            <w:tcW w:w="1559" w:type="dxa"/>
            <w:tcBorders>
              <w:left w:val="nil"/>
              <w:right w:val="nil"/>
            </w:tcBorders>
            <w:shd w:val="clear" w:color="auto" w:fill="C0C0C0"/>
            <w:noWrap/>
            <w:hideMark/>
          </w:tcPr>
          <w:p w:rsidR="007968C4" w:rsidRPr="007968C4" w:rsidRDefault="007968C4" w:rsidP="002B4229">
            <w:pPr>
              <w:widowControl/>
              <w:suppressAutoHyphens w:val="0"/>
              <w:jc w:val="center"/>
              <w:rPr>
                <w:rFonts w:ascii="Arial" w:eastAsia="Times New Roman" w:hAnsi="Arial" w:cs="Arial"/>
                <w:color w:val="000000"/>
                <w:kern w:val="0"/>
                <w:sz w:val="20"/>
                <w:szCs w:val="20"/>
                <w:lang w:eastAsia="en-US"/>
              </w:rPr>
            </w:pPr>
            <w:r w:rsidRPr="007968C4">
              <w:rPr>
                <w:rFonts w:ascii="Arial" w:eastAsia="Times New Roman" w:hAnsi="Arial" w:cs="Arial"/>
                <w:color w:val="000000"/>
                <w:kern w:val="0"/>
                <w:sz w:val="20"/>
                <w:szCs w:val="20"/>
                <w:lang w:eastAsia="en-US"/>
              </w:rPr>
              <w:t>9</w:t>
            </w:r>
          </w:p>
        </w:tc>
        <w:tc>
          <w:tcPr>
            <w:tcW w:w="1417" w:type="dxa"/>
            <w:tcBorders>
              <w:left w:val="nil"/>
              <w:right w:val="nil"/>
            </w:tcBorders>
            <w:shd w:val="clear" w:color="auto" w:fill="C0C0C0"/>
            <w:noWrap/>
            <w:hideMark/>
          </w:tcPr>
          <w:p w:rsidR="007968C4" w:rsidRPr="007968C4" w:rsidRDefault="007968C4" w:rsidP="002B4229">
            <w:pPr>
              <w:widowControl/>
              <w:suppressAutoHyphens w:val="0"/>
              <w:jc w:val="center"/>
              <w:rPr>
                <w:rFonts w:ascii="Arial" w:eastAsia="Times New Roman" w:hAnsi="Arial" w:cs="Arial"/>
                <w:color w:val="000000"/>
                <w:kern w:val="0"/>
                <w:sz w:val="20"/>
                <w:szCs w:val="20"/>
                <w:lang w:eastAsia="en-US"/>
              </w:rPr>
            </w:pPr>
            <w:r w:rsidRPr="007968C4">
              <w:rPr>
                <w:rFonts w:ascii="Arial" w:eastAsia="Times New Roman" w:hAnsi="Arial" w:cs="Arial"/>
                <w:color w:val="000000"/>
                <w:kern w:val="0"/>
                <w:sz w:val="20"/>
                <w:szCs w:val="20"/>
                <w:lang w:eastAsia="en-US"/>
              </w:rPr>
              <w:t>14</w:t>
            </w:r>
          </w:p>
        </w:tc>
        <w:tc>
          <w:tcPr>
            <w:tcW w:w="1418" w:type="dxa"/>
            <w:tcBorders>
              <w:left w:val="nil"/>
              <w:right w:val="nil"/>
            </w:tcBorders>
            <w:shd w:val="clear" w:color="auto" w:fill="C0C0C0"/>
            <w:noWrap/>
            <w:hideMark/>
          </w:tcPr>
          <w:p w:rsidR="007968C4" w:rsidRPr="007968C4" w:rsidRDefault="007968C4" w:rsidP="002B4229">
            <w:pPr>
              <w:widowControl/>
              <w:suppressAutoHyphens w:val="0"/>
              <w:jc w:val="center"/>
              <w:rPr>
                <w:rFonts w:ascii="Arial" w:eastAsia="Times New Roman" w:hAnsi="Arial" w:cs="Arial"/>
                <w:color w:val="000000"/>
                <w:kern w:val="0"/>
                <w:sz w:val="20"/>
                <w:szCs w:val="20"/>
                <w:lang w:eastAsia="en-US"/>
              </w:rPr>
            </w:pPr>
            <w:r w:rsidRPr="007968C4">
              <w:rPr>
                <w:rFonts w:ascii="Arial" w:eastAsia="Times New Roman" w:hAnsi="Arial" w:cs="Arial"/>
                <w:color w:val="000000"/>
                <w:kern w:val="0"/>
                <w:sz w:val="20"/>
                <w:szCs w:val="20"/>
                <w:lang w:eastAsia="en-US"/>
              </w:rPr>
              <w:t>229</w:t>
            </w:r>
          </w:p>
        </w:tc>
      </w:tr>
    </w:tbl>
    <w:p w:rsidR="00E979DE" w:rsidRDefault="00E979DE" w:rsidP="00E979DE">
      <w:pPr>
        <w:pStyle w:val="Subtitle"/>
      </w:pPr>
    </w:p>
    <w:p w:rsidR="002B4229" w:rsidRPr="00E979DE" w:rsidRDefault="002B4229" w:rsidP="00E979DE">
      <w:pPr>
        <w:pStyle w:val="Subtitle"/>
        <w:rPr>
          <w:b/>
          <w:bCs/>
        </w:rPr>
      </w:pPr>
      <w:r w:rsidRPr="00E979DE">
        <w:rPr>
          <w:b/>
          <w:bCs/>
        </w:rPr>
        <w:t>Ownership data</w:t>
      </w:r>
    </w:p>
    <w:p w:rsidR="00EB2E4F" w:rsidRDefault="00EB2E4F" w:rsidP="00E67DB8">
      <w:pPr>
        <w:pStyle w:val="Subtitle"/>
      </w:pPr>
      <w:r>
        <w:t>Depreciation</w:t>
      </w:r>
    </w:p>
    <w:p w:rsidR="00EB2E4F" w:rsidRDefault="00EB2E4F" w:rsidP="00EB2E4F">
      <w:r>
        <w:t>Depreciation was compu</w:t>
      </w:r>
      <w:r w:rsidR="003608E7">
        <w:t>ted using the following formula equivalent to the one used in Schuster et al.</w:t>
      </w:r>
    </w:p>
    <w:p w:rsidR="002B4229" w:rsidRDefault="00EB2E4F">
      <w:r w:rsidRPr="00EB2E4F">
        <w:rPr>
          <w:position w:val="-10"/>
        </w:rPr>
        <w:object w:dxaOrig="2920" w:dyaOrig="360">
          <v:shape id="_x0000_i1029" type="#_x0000_t75" style="width:146.4pt;height:17.6pt" o:ole="" filled="t">
            <v:fill color2="black"/>
            <v:imagedata r:id="rId23" o:title=""/>
          </v:shape>
          <o:OLEObject Type="Embed" ProgID="Equation.3" ShapeID="_x0000_i1029" DrawAspect="Content" ObjectID="_1343999965" r:id="rId24"/>
        </w:object>
      </w:r>
    </w:p>
    <w:p w:rsidR="00EB2E4F" w:rsidRDefault="00EB2E4F">
      <w:r>
        <w:t>Where:</w:t>
      </w:r>
    </w:p>
    <w:p w:rsidR="00EB2E4F" w:rsidRPr="00EB2E4F" w:rsidRDefault="00EB2E4F" w:rsidP="00E67DB8">
      <w:pPr>
        <w:spacing w:line="240" w:lineRule="auto"/>
        <w:rPr>
          <w:rFonts w:cs="Arial"/>
        </w:rPr>
      </w:pPr>
      <w:r>
        <w:t xml:space="preserve">P </w:t>
      </w:r>
      <w:r w:rsidRPr="00EB2E4F">
        <w:rPr>
          <w:rFonts w:cs="Arial"/>
        </w:rPr>
        <w:t>= Purchase price</w:t>
      </w:r>
    </w:p>
    <w:p w:rsidR="00EB2E4F" w:rsidRPr="00EB2E4F" w:rsidRDefault="00AA4F47" w:rsidP="00E67DB8">
      <w:pPr>
        <w:spacing w:line="240" w:lineRule="auto"/>
        <w:rPr>
          <w:rFonts w:cs="Arial"/>
        </w:rPr>
      </w:pPr>
      <w:r>
        <w:rPr>
          <w:rFonts w:cs="Arial"/>
        </w:rPr>
        <w:t>r</w:t>
      </w:r>
      <w:r w:rsidR="00EB2E4F" w:rsidRPr="00EB2E4F">
        <w:rPr>
          <w:rFonts w:cs="Arial"/>
        </w:rPr>
        <w:t xml:space="preserve"> = depreciation rate</w:t>
      </w:r>
    </w:p>
    <w:p w:rsidR="00EB2E4F" w:rsidRDefault="00EB2E4F" w:rsidP="00E67DB8">
      <w:pPr>
        <w:spacing w:line="240" w:lineRule="auto"/>
        <w:rPr>
          <w:rFonts w:cs="Arial"/>
        </w:rPr>
      </w:pPr>
      <w:r>
        <w:rPr>
          <w:rFonts w:cs="Arial"/>
        </w:rPr>
        <w:t>N = vehicle age</w:t>
      </w:r>
    </w:p>
    <w:p w:rsidR="00792546" w:rsidRDefault="00792546"/>
    <w:p w:rsidR="002B4229" w:rsidRDefault="00EB2E4F">
      <w:pPr>
        <w:rPr>
          <w:rFonts w:cs="Arial"/>
        </w:rPr>
      </w:pPr>
      <w:r>
        <w:t>As suggested by Schuster et al, the depreciation rate was assumed to vary between 15-</w:t>
      </w:r>
      <w:r w:rsidRPr="00EB2E4F">
        <w:rPr>
          <w:rFonts w:cs="Arial"/>
        </w:rPr>
        <w:t xml:space="preserve">20% and to correlate </w:t>
      </w:r>
      <w:r>
        <w:rPr>
          <w:rFonts w:cs="Arial"/>
        </w:rPr>
        <w:t xml:space="preserve">with </w:t>
      </w:r>
      <w:r w:rsidR="00690735" w:rsidRPr="00690735">
        <w:rPr>
          <w:rFonts w:cs="Arial"/>
        </w:rPr>
        <w:t xml:space="preserve">yearly </w:t>
      </w:r>
      <w:r>
        <w:rPr>
          <w:rFonts w:cs="Arial"/>
        </w:rPr>
        <w:t>mileage. It was computed as follows:</w:t>
      </w:r>
    </w:p>
    <w:p w:rsidR="002B4229" w:rsidRDefault="00690735">
      <w:r w:rsidRPr="00EB2E4F">
        <w:rPr>
          <w:position w:val="-10"/>
        </w:rPr>
        <w:object w:dxaOrig="3920" w:dyaOrig="320">
          <v:shape id="_x0000_i1030" type="#_x0000_t75" style="width:195.2pt;height:15.2pt" o:ole="" filled="t">
            <v:fill color2="black"/>
            <v:imagedata r:id="rId25" o:title=""/>
          </v:shape>
          <o:OLEObject Type="Embed" ProgID="Equation.3" ShapeID="_x0000_i1030" DrawAspect="Content" ObjectID="_1343999966" r:id="rId26"/>
        </w:object>
      </w:r>
    </w:p>
    <w:p w:rsidR="00BB3CA7" w:rsidRDefault="00690735" w:rsidP="00C811A6">
      <w:pPr>
        <w:rPr>
          <w:rFonts w:cs="Arial"/>
        </w:rPr>
      </w:pPr>
      <w:r>
        <w:t>No data about vehicle purchase prices and their distribution in Israel could be found. The price categories of the Green Taxation commission</w:t>
      </w:r>
      <w:r w:rsidR="00DA471A">
        <w:rPr>
          <w:rStyle w:val="FootnoteReference"/>
        </w:rPr>
        <w:footnoteReference w:id="26"/>
      </w:r>
      <w:r>
        <w:t xml:space="preserve"> were used, defining a minimum car price at NIS 87</w:t>
      </w:r>
      <w:r w:rsidR="00C811A6">
        <w:t>,</w:t>
      </w:r>
      <w:r>
        <w:t xml:space="preserve">000. </w:t>
      </w:r>
      <w:r w:rsidR="00F02CFF">
        <w:t>The base case used a</w:t>
      </w:r>
      <w:r w:rsidR="00ED6440">
        <w:t xml:space="preserve"> lognormal dis</w:t>
      </w:r>
      <w:r w:rsidR="00F02CFF">
        <w:t>tribution with a mean of NIS 105</w:t>
      </w:r>
      <w:r w:rsidR="00C811A6">
        <w:t>,</w:t>
      </w:r>
      <w:r w:rsidR="00ED6440">
        <w:t xml:space="preserve">000 and a standard deviation of 25% </w:t>
      </w:r>
      <w:r w:rsidR="00BB3CA7">
        <w:t>as suggested b</w:t>
      </w:r>
      <w:r w:rsidR="00BB3CA7" w:rsidRPr="00BB3CA7">
        <w:rPr>
          <w:rFonts w:cs="Arial"/>
        </w:rPr>
        <w:t xml:space="preserve">y Schuster et al. </w:t>
      </w:r>
      <w:r w:rsidR="002E47F8">
        <w:rPr>
          <w:rFonts w:cs="Arial"/>
        </w:rPr>
        <w:t xml:space="preserve">The lognormal distribution was chosen following the precautious assumption that most cars would cluster at lower price levels with only a minority </w:t>
      </w:r>
      <w:r w:rsidR="00AA4F47">
        <w:rPr>
          <w:rFonts w:cs="Arial"/>
        </w:rPr>
        <w:t xml:space="preserve">priced </w:t>
      </w:r>
      <w:r w:rsidR="002E47F8">
        <w:rPr>
          <w:rFonts w:cs="Arial"/>
        </w:rPr>
        <w:t xml:space="preserve">in the higher end. </w:t>
      </w:r>
      <w:r w:rsidR="00BB3CA7">
        <w:rPr>
          <w:rFonts w:cs="Arial"/>
        </w:rPr>
        <w:t>The mean was assumed to be relativel</w:t>
      </w:r>
      <w:r w:rsidR="00BB3CA7" w:rsidRPr="00BB3CA7">
        <w:rPr>
          <w:rFonts w:cs="Arial"/>
        </w:rPr>
        <w:t>y low and probably lower than in reality in order to achieve a conservative estimate.</w:t>
      </w:r>
      <w:r w:rsidR="00F02CFF">
        <w:rPr>
          <w:rFonts w:cs="Arial"/>
        </w:rPr>
        <w:t xml:space="preserve"> </w:t>
      </w:r>
    </w:p>
    <w:p w:rsidR="00BB3CA7" w:rsidRDefault="00BB3CA7" w:rsidP="00AA4F47">
      <w:pPr>
        <w:rPr>
          <w:rFonts w:cs="Arial"/>
        </w:rPr>
      </w:pPr>
      <w:r>
        <w:rPr>
          <w:rFonts w:cs="Arial"/>
        </w:rPr>
        <w:t xml:space="preserve">In order to generate the vehicle age, </w:t>
      </w:r>
      <w:r w:rsidR="00DA471A">
        <w:rPr>
          <w:rFonts w:cs="Arial"/>
        </w:rPr>
        <w:t>Central Bureau of Statistics (CBS)</w:t>
      </w:r>
      <w:r>
        <w:rPr>
          <w:rFonts w:cs="Arial"/>
        </w:rPr>
        <w:t xml:space="preserve"> data was used</w:t>
      </w:r>
      <w:r w:rsidR="008D3379">
        <w:rPr>
          <w:rStyle w:val="FootnoteReference"/>
          <w:rFonts w:cs="Arial"/>
        </w:rPr>
        <w:footnoteReference w:id="27"/>
      </w:r>
      <w:r>
        <w:rPr>
          <w:rFonts w:cs="Arial"/>
        </w:rPr>
        <w:t>. Onl</w:t>
      </w:r>
      <w:r w:rsidRPr="00BB3CA7">
        <w:rPr>
          <w:rFonts w:cs="Arial"/>
        </w:rPr>
        <w:t>y data from the Gush Dan towns in central Israel was used,</w:t>
      </w:r>
      <w:r>
        <w:rPr>
          <w:rFonts w:cs="Arial"/>
        </w:rPr>
        <w:t xml:space="preserve"> where the average car age was 6.6 compared to 8.2 in the whole countr</w:t>
      </w:r>
      <w:r w:rsidRPr="00BB3CA7">
        <w:rPr>
          <w:rFonts w:cs="Arial"/>
        </w:rPr>
        <w:t xml:space="preserve">y. </w:t>
      </w:r>
      <w:r>
        <w:rPr>
          <w:rFonts w:cs="Arial"/>
        </w:rPr>
        <w:t>T</w:t>
      </w:r>
      <w:r w:rsidRPr="00BB3CA7">
        <w:rPr>
          <w:rFonts w:cs="Arial"/>
        </w:rPr>
        <w:t xml:space="preserve">he probability of a certain age was equal to </w:t>
      </w:r>
      <w:r>
        <w:rPr>
          <w:rFonts w:cs="Arial"/>
        </w:rPr>
        <w:t>the</w:t>
      </w:r>
      <w:r w:rsidRPr="00BB3CA7">
        <w:rPr>
          <w:rFonts w:cs="Arial"/>
        </w:rPr>
        <w:t xml:space="preserve"> share of that age group in total vehicles. </w:t>
      </w:r>
      <w:r>
        <w:rPr>
          <w:rFonts w:cs="Arial"/>
        </w:rPr>
        <w:t xml:space="preserve">Given the generalization of the data for older vehicles, the following values were </w:t>
      </w:r>
      <w:r>
        <w:rPr>
          <w:rFonts w:cs="Arial"/>
        </w:rPr>
        <w:lastRenderedPageBreak/>
        <w:t>attributed: 1</w:t>
      </w:r>
      <w:proofErr w:type="gramStart"/>
      <w:r>
        <w:rPr>
          <w:rFonts w:cs="Arial"/>
        </w:rPr>
        <w:t>,2,3,4,5,7,10</w:t>
      </w:r>
      <w:proofErr w:type="gramEnd"/>
      <w:r>
        <w:rPr>
          <w:rFonts w:cs="Arial"/>
        </w:rPr>
        <w:t>.</w:t>
      </w:r>
    </w:p>
    <w:p w:rsidR="00BB3CA7" w:rsidRDefault="00BB3CA7" w:rsidP="00BB3CA7">
      <w:pPr>
        <w:rPr>
          <w:rFonts w:cs="Arial"/>
        </w:rPr>
      </w:pPr>
    </w:p>
    <w:p w:rsidR="00BB3CA7" w:rsidRDefault="00BB3CA7" w:rsidP="00E67DB8">
      <w:pPr>
        <w:pStyle w:val="Subtitle"/>
      </w:pPr>
      <w:r>
        <w:t>Financing:</w:t>
      </w:r>
    </w:p>
    <w:p w:rsidR="00A053F9" w:rsidRDefault="00AC0A53" w:rsidP="00DA471A">
      <w:pPr>
        <w:rPr>
          <w:rFonts w:cs="Arial"/>
        </w:rPr>
      </w:pPr>
      <w:r>
        <w:rPr>
          <w:rFonts w:cs="Arial"/>
        </w:rPr>
        <w:t>In order to allow for a comparison of all t</w:t>
      </w:r>
      <w:r w:rsidRPr="00AC0A53">
        <w:rPr>
          <w:rFonts w:cs="Arial"/>
        </w:rPr>
        <w:t>ypes of car ownership, opportunity costs were used rather th</w:t>
      </w:r>
      <w:r w:rsidR="00CC475F">
        <w:rPr>
          <w:rFonts w:cs="Arial"/>
        </w:rPr>
        <w:t xml:space="preserve">an </w:t>
      </w:r>
      <w:r w:rsidR="00A053F9">
        <w:rPr>
          <w:rFonts w:cs="Arial"/>
        </w:rPr>
        <w:t>actual car finance payments. The opportunit</w:t>
      </w:r>
      <w:r w:rsidR="00A053F9" w:rsidRPr="00A053F9">
        <w:rPr>
          <w:rFonts w:cs="Arial"/>
        </w:rPr>
        <w:t>y price of capital was defined as the Bank of Israel interest rate</w:t>
      </w:r>
      <w:r w:rsidR="00ED44F1">
        <w:rPr>
          <w:rFonts w:cs="Arial"/>
        </w:rPr>
        <w:t>, valued at 1.25%</w:t>
      </w:r>
      <w:r w:rsidR="00ED44F1">
        <w:rPr>
          <w:rStyle w:val="FootnoteReference"/>
          <w:rFonts w:cs="Arial"/>
        </w:rPr>
        <w:footnoteReference w:id="28"/>
      </w:r>
      <w:r w:rsidR="00A053F9" w:rsidRPr="00A053F9">
        <w:rPr>
          <w:rFonts w:cs="Arial"/>
        </w:rPr>
        <w:t>.</w:t>
      </w:r>
      <w:r w:rsidR="00A053F9">
        <w:rPr>
          <w:rFonts w:cs="Arial"/>
        </w:rPr>
        <w:t xml:space="preserve"> A depreciation table was used to discount the purchase value </w:t>
      </w:r>
      <w:r w:rsidR="00DA471A">
        <w:rPr>
          <w:rFonts w:cs="Arial"/>
        </w:rPr>
        <w:t>after</w:t>
      </w:r>
      <w:r w:rsidR="00A053F9" w:rsidRPr="00A053F9">
        <w:rPr>
          <w:rFonts w:cs="Arial"/>
        </w:rPr>
        <w:t xml:space="preserve"> previous depreciation, and the current value of a car was multiplied by the interest rate.</w:t>
      </w:r>
    </w:p>
    <w:p w:rsidR="00BC04EB" w:rsidRPr="00A053F9" w:rsidRDefault="00BC04EB" w:rsidP="00A053F9">
      <w:pPr>
        <w:rPr>
          <w:rFonts w:cs="Arial"/>
        </w:rPr>
      </w:pPr>
      <w:r>
        <w:rPr>
          <w:rFonts w:cs="Arial"/>
        </w:rPr>
        <w:t>While Schuster et al. stopped counting financing cost</w:t>
      </w:r>
      <w:r w:rsidR="00DA471A">
        <w:rPr>
          <w:rFonts w:cs="Arial"/>
        </w:rPr>
        <w:t>s for cars older than six years</w:t>
      </w:r>
      <w:r>
        <w:rPr>
          <w:rFonts w:cs="Arial"/>
        </w:rPr>
        <w:t xml:space="preserve"> the model used here did not do so. Given the very low rate used and the fact that </w:t>
      </w:r>
      <w:r w:rsidR="00DA471A">
        <w:rPr>
          <w:rFonts w:cs="Arial"/>
        </w:rPr>
        <w:t xml:space="preserve">financial </w:t>
      </w:r>
      <w:r>
        <w:rPr>
          <w:rFonts w:cs="Arial"/>
        </w:rPr>
        <w:t xml:space="preserve">opportunity costs still hold valid also for </w:t>
      </w:r>
      <w:r w:rsidR="009A3913">
        <w:rPr>
          <w:rFonts w:cs="Arial"/>
        </w:rPr>
        <w:t>cheap "lemons", it was considered correct to do so.</w:t>
      </w:r>
    </w:p>
    <w:p w:rsidR="00A053F9" w:rsidRDefault="00A053F9" w:rsidP="00BC04EB">
      <w:pPr>
        <w:rPr>
          <w:rFonts w:cs="Arial"/>
        </w:rPr>
      </w:pPr>
      <w:r>
        <w:rPr>
          <w:rFonts w:cs="Arial"/>
        </w:rPr>
        <w:t>Using the interest rate as a proxy for risk free returns is a ver</w:t>
      </w:r>
      <w:r w:rsidRPr="00A053F9">
        <w:rPr>
          <w:rFonts w:cs="Arial"/>
        </w:rPr>
        <w:t xml:space="preserve">y conservative estimate. </w:t>
      </w:r>
      <w:r>
        <w:rPr>
          <w:rFonts w:cs="Arial"/>
        </w:rPr>
        <w:t xml:space="preserve">Specifically in cases where the purchase of a car is financed partially by a </w:t>
      </w:r>
      <w:r w:rsidR="00AA4F47">
        <w:rPr>
          <w:rFonts w:cs="Arial"/>
        </w:rPr>
        <w:t xml:space="preserve">bank </w:t>
      </w:r>
      <w:r>
        <w:rPr>
          <w:rFonts w:cs="Arial"/>
        </w:rPr>
        <w:t xml:space="preserve">loan, the true costs of finance are </w:t>
      </w:r>
      <w:r w:rsidR="00BC04EB">
        <w:rPr>
          <w:rFonts w:cs="Arial"/>
        </w:rPr>
        <w:t>considerably</w:t>
      </w:r>
      <w:r>
        <w:rPr>
          <w:rFonts w:cs="Arial"/>
        </w:rPr>
        <w:t xml:space="preserve"> higher.</w:t>
      </w:r>
    </w:p>
    <w:p w:rsidR="00A053F9" w:rsidRDefault="00A053F9" w:rsidP="00A053F9">
      <w:pPr>
        <w:rPr>
          <w:rFonts w:cs="Arial"/>
        </w:rPr>
      </w:pPr>
    </w:p>
    <w:p w:rsidR="00ED44F1" w:rsidRDefault="00ED44F1" w:rsidP="00E67DB8">
      <w:pPr>
        <w:pStyle w:val="Subtitle"/>
      </w:pPr>
      <w:r>
        <w:t>Vehicle Insurance</w:t>
      </w:r>
    </w:p>
    <w:p w:rsidR="00ED44F1" w:rsidRDefault="00ED44F1" w:rsidP="00AA4F47">
      <w:pPr>
        <w:rPr>
          <w:rFonts w:cs="Arial"/>
        </w:rPr>
      </w:pPr>
      <w:r>
        <w:rPr>
          <w:rFonts w:cs="Arial"/>
        </w:rPr>
        <w:t xml:space="preserve">The </w:t>
      </w:r>
      <w:proofErr w:type="spellStart"/>
      <w:r w:rsidR="00FA0AB0">
        <w:rPr>
          <w:rFonts w:cs="Arial"/>
        </w:rPr>
        <w:t>Heshev</w:t>
      </w:r>
      <w:proofErr w:type="spellEnd"/>
      <w:r>
        <w:rPr>
          <w:rFonts w:cs="Arial"/>
        </w:rPr>
        <w:t xml:space="preserve"> private car cost estimate</w:t>
      </w:r>
      <w:r w:rsidR="004A3EBA">
        <w:rPr>
          <w:rStyle w:val="FootnoteReference"/>
          <w:rFonts w:cs="Arial"/>
        </w:rPr>
        <w:footnoteReference w:id="29"/>
      </w:r>
      <w:r>
        <w:rPr>
          <w:rFonts w:cs="Arial"/>
        </w:rPr>
        <w:t xml:space="preserve"> was used as the mean of </w:t>
      </w:r>
      <w:r w:rsidR="00AA4F47">
        <w:rPr>
          <w:rFonts w:cs="Arial"/>
        </w:rPr>
        <w:t>minimal</w:t>
      </w:r>
      <w:r>
        <w:rPr>
          <w:rFonts w:cs="Arial"/>
        </w:rPr>
        <w:t xml:space="preserve"> insurance. </w:t>
      </w:r>
      <w:proofErr w:type="spellStart"/>
      <w:r w:rsidR="00FA0AB0">
        <w:rPr>
          <w:rFonts w:cs="Arial"/>
        </w:rPr>
        <w:t>Heshev</w:t>
      </w:r>
      <w:proofErr w:type="spellEnd"/>
      <w:r>
        <w:rPr>
          <w:rFonts w:cs="Arial"/>
        </w:rPr>
        <w:t xml:space="preserve"> used the sum of NIS 1404 </w:t>
      </w:r>
      <w:r w:rsidRPr="00ED44F1">
        <w:rPr>
          <w:rFonts w:cs="Arial"/>
        </w:rPr>
        <w:t xml:space="preserve">yearly </w:t>
      </w:r>
      <w:r w:rsidR="00DA471A">
        <w:rPr>
          <w:rFonts w:cs="Arial"/>
        </w:rPr>
        <w:t xml:space="preserve">insurance </w:t>
      </w:r>
      <w:r w:rsidRPr="00ED44F1">
        <w:rPr>
          <w:rFonts w:cs="Arial"/>
        </w:rPr>
        <w:t xml:space="preserve">cost. A lognormal distribution with </w:t>
      </w:r>
      <w:r w:rsidR="004A3EBA">
        <w:rPr>
          <w:rFonts w:cs="Arial"/>
        </w:rPr>
        <w:t xml:space="preserve">deviation of 20% was used, as compared to a lognormal distribution with a deviation of 25% in Schuster et al. The lognormal distribution was chosen under the assumption that most drivers pay relatively low premiums and only a minority is considered risky and pays higher premiums. </w:t>
      </w:r>
    </w:p>
    <w:p w:rsidR="004A3EBA" w:rsidRDefault="00AA4F47" w:rsidP="002F1D58">
      <w:pPr>
        <w:rPr>
          <w:rFonts w:cs="Arial"/>
        </w:rPr>
      </w:pPr>
      <w:r>
        <w:rPr>
          <w:rFonts w:cs="Arial"/>
        </w:rPr>
        <w:t>Additional</w:t>
      </w:r>
      <w:r w:rsidR="004A3EBA">
        <w:rPr>
          <w:rFonts w:cs="Arial"/>
        </w:rPr>
        <w:t xml:space="preserve"> insurance was also based on the estimate of </w:t>
      </w:r>
      <w:proofErr w:type="spellStart"/>
      <w:r w:rsidR="00FA0AB0">
        <w:rPr>
          <w:rFonts w:cs="Arial"/>
        </w:rPr>
        <w:t>Heshev</w:t>
      </w:r>
      <w:proofErr w:type="spellEnd"/>
      <w:r w:rsidR="004A3EBA">
        <w:rPr>
          <w:rFonts w:cs="Arial"/>
        </w:rPr>
        <w:t xml:space="preserve">, standing at NIS 3075. </w:t>
      </w:r>
      <w:r w:rsidR="002F1D58">
        <w:rPr>
          <w:rFonts w:cs="Arial"/>
        </w:rPr>
        <w:t>Again, a lognormal distribution was assumed with a deviation of 30%.</w:t>
      </w:r>
    </w:p>
    <w:p w:rsidR="007A06C0" w:rsidRDefault="007A06C0" w:rsidP="007A06C0">
      <w:pPr>
        <w:rPr>
          <w:rFonts w:cs="Arial"/>
        </w:rPr>
      </w:pPr>
      <w:r>
        <w:rPr>
          <w:rFonts w:cs="Arial"/>
        </w:rPr>
        <w:t xml:space="preserve">Schuster et al. used a mean total insurance of USD 828 </w:t>
      </w:r>
      <w:r w:rsidRPr="007A06C0">
        <w:rPr>
          <w:rFonts w:cs="Arial"/>
        </w:rPr>
        <w:t>(</w:t>
      </w:r>
      <w:r>
        <w:rPr>
          <w:rFonts w:cs="Arial"/>
        </w:rPr>
        <w:t>approximately NIS 3138), about 30% lower than the Israeli mean of NIS 4479.</w:t>
      </w:r>
    </w:p>
    <w:p w:rsidR="002E47F8" w:rsidRDefault="002E47F8" w:rsidP="007A06C0">
      <w:pPr>
        <w:rPr>
          <w:rFonts w:cs="Arial"/>
        </w:rPr>
      </w:pPr>
    </w:p>
    <w:p w:rsidR="007A06C0" w:rsidRDefault="007A06C0" w:rsidP="00E67DB8">
      <w:pPr>
        <w:pStyle w:val="Subtitle"/>
      </w:pPr>
      <w:r>
        <w:lastRenderedPageBreak/>
        <w:t>Registration</w:t>
      </w:r>
    </w:p>
    <w:p w:rsidR="007A06C0" w:rsidRDefault="0087547C" w:rsidP="002F1D58">
      <w:pPr>
        <w:rPr>
          <w:rFonts w:cs="Arial"/>
        </w:rPr>
      </w:pPr>
      <w:r>
        <w:rPr>
          <w:rFonts w:cs="Arial"/>
        </w:rPr>
        <w:t xml:space="preserve">Registration was assumed to follow a lognormal distribution with a </w:t>
      </w:r>
      <w:r w:rsidR="00C505BC">
        <w:rPr>
          <w:rFonts w:cs="Arial"/>
        </w:rPr>
        <w:t xml:space="preserve">mean of NIS 1404 and a standard deviation of 10%. This number was suggested by </w:t>
      </w:r>
      <w:proofErr w:type="spellStart"/>
      <w:r w:rsidR="00FA0AB0">
        <w:rPr>
          <w:rFonts w:cs="Arial"/>
        </w:rPr>
        <w:t>Heshev</w:t>
      </w:r>
      <w:proofErr w:type="spellEnd"/>
      <w:r w:rsidR="00C505BC">
        <w:rPr>
          <w:rFonts w:cs="Arial"/>
        </w:rPr>
        <w:t xml:space="preserve"> for the average Israeli car. </w:t>
      </w:r>
    </w:p>
    <w:p w:rsidR="00C505BC" w:rsidRDefault="00C505BC" w:rsidP="002F1D58">
      <w:pPr>
        <w:rPr>
          <w:rFonts w:cs="Arial"/>
        </w:rPr>
      </w:pPr>
      <w:r>
        <w:rPr>
          <w:rFonts w:cs="Arial"/>
        </w:rPr>
        <w:t>The parallel value in Schuster et al. was USD 40.5.</w:t>
      </w:r>
    </w:p>
    <w:p w:rsidR="00C505BC" w:rsidRDefault="00C505BC" w:rsidP="002F1D58">
      <w:pPr>
        <w:rPr>
          <w:rFonts w:cs="Arial"/>
        </w:rPr>
      </w:pPr>
    </w:p>
    <w:p w:rsidR="00C505BC" w:rsidRDefault="00C505BC" w:rsidP="00E67DB8">
      <w:pPr>
        <w:pStyle w:val="Subtitle"/>
      </w:pPr>
      <w:r>
        <w:t>Repairs and maintenance</w:t>
      </w:r>
    </w:p>
    <w:p w:rsidR="002E47F8" w:rsidRDefault="00C505BC" w:rsidP="00AA4F47">
      <w:pPr>
        <w:rPr>
          <w:rFonts w:cs="Arial"/>
        </w:rPr>
      </w:pPr>
      <w:r>
        <w:rPr>
          <w:rFonts w:cs="Arial"/>
        </w:rPr>
        <w:t xml:space="preserve">A normal distribution with a mean of NIS 4000 and a standard deviation of </w:t>
      </w:r>
      <w:r w:rsidR="00AA4F47">
        <w:rPr>
          <w:rFonts w:cs="Arial"/>
        </w:rPr>
        <w:t>25%</w:t>
      </w:r>
      <w:r>
        <w:rPr>
          <w:rFonts w:cs="Arial"/>
        </w:rPr>
        <w:t xml:space="preserve"> was used. The result was multiplied by </w:t>
      </w:r>
      <w:r w:rsidR="005058B6" w:rsidRPr="005058B6">
        <w:rPr>
          <w:rFonts w:cs="Arial"/>
        </w:rPr>
        <w:t>in order to apply with a negative correlation with age and a positive one with mileage, as suggested by Schuster</w:t>
      </w:r>
      <w:r w:rsidR="00AA4F47">
        <w:rPr>
          <w:rFonts w:cs="Arial"/>
        </w:rPr>
        <w:t xml:space="preserve"> et al</w:t>
      </w:r>
      <w:r w:rsidR="005058B6" w:rsidRPr="005058B6">
        <w:rPr>
          <w:rFonts w:cs="Arial"/>
        </w:rPr>
        <w:t>.</w:t>
      </w:r>
      <w:r>
        <w:rPr>
          <w:rFonts w:cs="Arial"/>
        </w:rPr>
        <w:t xml:space="preserve"> </w:t>
      </w:r>
    </w:p>
    <w:p w:rsidR="002E47F8" w:rsidRPr="002E47F8" w:rsidRDefault="00C64E65" w:rsidP="002E47F8">
      <w:pPr>
        <w:rPr>
          <w:rFonts w:cs="Arial"/>
          <w:i/>
        </w:rPr>
      </w:pPr>
      <m:oMathPara>
        <m:oMath>
          <m:f>
            <m:fPr>
              <m:ctrlPr>
                <w:rPr>
                  <w:rFonts w:ascii="Cambria Math" w:hAnsi="Cambria Math" w:cs="Arial"/>
                </w:rPr>
              </m:ctrlPr>
            </m:fPr>
            <m:num>
              <m:r>
                <m:rPr>
                  <m:sty m:val="p"/>
                </m:rPr>
                <w:rPr>
                  <w:rFonts w:ascii="Cambria Math" w:hAnsi="Cambria Math" w:cs="Arial"/>
                </w:rPr>
                <m:t>1+Car age</m:t>
              </m:r>
            </m:num>
            <m:den>
              <m:r>
                <m:rPr>
                  <m:sty m:val="p"/>
                </m:rPr>
                <w:rPr>
                  <w:rFonts w:ascii="Cambria Math" w:hAnsi="Cambria Math" w:cs="Arial"/>
                </w:rPr>
                <m:t>100</m:t>
              </m:r>
            </m:den>
          </m:f>
          <m:r>
            <w:rPr>
              <w:rFonts w:ascii="Cambria Math" w:hAnsi="Cambria Math" w:cs="Arial"/>
              <w:lang w:val="de-CH"/>
            </w:rPr>
            <m:t>*</m:t>
          </m:r>
          <m:r>
            <m:rPr>
              <m:sty m:val="p"/>
            </m:rPr>
            <w:rPr>
              <w:rFonts w:ascii="Cambria Math" w:hAnsi="Cambria Math" w:cs="Arial"/>
            </w:rPr>
            <m:t xml:space="preserve"> 0.000003*yearly miles</m:t>
          </m:r>
          <m:r>
            <w:rPr>
              <w:rFonts w:ascii="Cambria Math" w:hAnsi="Cambria Math" w:cs="Arial"/>
              <w:lang w:val="de-CH"/>
            </w:rPr>
            <m:t>*repair costs=</m:t>
          </m:r>
          <m:r>
            <w:rPr>
              <w:rFonts w:ascii="Cambria Math" w:hAnsi="Cambria Math" w:cs="Arial"/>
            </w:rPr>
            <m:t xml:space="preserve"> repair and maintenance costs</m:t>
          </m:r>
        </m:oMath>
      </m:oMathPara>
    </w:p>
    <w:p w:rsidR="00C505BC" w:rsidRDefault="00C505BC" w:rsidP="002E47F8">
      <w:pPr>
        <w:rPr>
          <w:rFonts w:cs="Arial"/>
        </w:rPr>
      </w:pPr>
      <w:r>
        <w:rPr>
          <w:rFonts w:cs="Arial"/>
        </w:rPr>
        <w:t xml:space="preserve">These numbers are markedly lower than the approximately NIS 5500 for repairs, maintenance and tires that was used in the </w:t>
      </w:r>
      <w:proofErr w:type="spellStart"/>
      <w:r w:rsidR="00FA0AB0">
        <w:rPr>
          <w:rFonts w:cs="Arial"/>
        </w:rPr>
        <w:t>Heshev</w:t>
      </w:r>
      <w:proofErr w:type="spellEnd"/>
      <w:r>
        <w:rPr>
          <w:rFonts w:cs="Arial"/>
        </w:rPr>
        <w:t xml:space="preserve"> calculation.</w:t>
      </w:r>
      <w:r w:rsidR="005058B6">
        <w:rPr>
          <w:rFonts w:cs="Arial"/>
        </w:rPr>
        <w:t xml:space="preserve"> However, given the relative lack of information a conservative estimate was considered reasonable.</w:t>
      </w:r>
    </w:p>
    <w:p w:rsidR="00A3490C" w:rsidRDefault="005058B6" w:rsidP="00A3490C">
      <w:pPr>
        <w:rPr>
          <w:rFonts w:cs="Arial"/>
        </w:rPr>
      </w:pPr>
      <w:r>
        <w:rPr>
          <w:rFonts w:cs="Arial"/>
        </w:rPr>
        <w:t xml:space="preserve">Schuster </w:t>
      </w:r>
      <w:proofErr w:type="gramStart"/>
      <w:r>
        <w:rPr>
          <w:rFonts w:cs="Arial"/>
        </w:rPr>
        <w:t>et</w:t>
      </w:r>
      <w:proofErr w:type="gramEnd"/>
      <w:r>
        <w:rPr>
          <w:rFonts w:cs="Arial"/>
        </w:rPr>
        <w:t xml:space="preserve">. </w:t>
      </w:r>
      <w:proofErr w:type="gramStart"/>
      <w:r>
        <w:rPr>
          <w:rFonts w:cs="Arial"/>
        </w:rPr>
        <w:t>al</w:t>
      </w:r>
      <w:proofErr w:type="gramEnd"/>
      <w:r>
        <w:rPr>
          <w:rFonts w:cs="Arial"/>
        </w:rPr>
        <w:t xml:space="preserve"> used a normal distribution with a mean of USD 1200 and a standard deviation of USD 500. </w:t>
      </w:r>
    </w:p>
    <w:p w:rsidR="006A5C23" w:rsidRDefault="006A5C23" w:rsidP="006A5C23">
      <w:pPr>
        <w:pStyle w:val="Subtitle"/>
      </w:pPr>
      <w:r w:rsidRPr="006A5C23">
        <w:t>Gas costs</w:t>
      </w:r>
    </w:p>
    <w:p w:rsidR="006A5C23" w:rsidRDefault="006A5C23" w:rsidP="006A5C23">
      <w:r>
        <w:t>Mileage costs were calculated based on the following formula:</w:t>
      </w:r>
    </w:p>
    <w:p w:rsidR="006A5C23" w:rsidRPr="006A5C23" w:rsidRDefault="006A5C23" w:rsidP="006A5C23">
      <w:pPr>
        <w:rPr>
          <w:i/>
          <w:lang w:val="de-CH"/>
        </w:rPr>
      </w:pPr>
      <m:oMathPara>
        <m:oMathParaPr>
          <m:jc m:val="left"/>
        </m:oMathParaPr>
        <m:oMath>
          <m:r>
            <w:rPr>
              <w:rFonts w:ascii="Cambria Math" w:hAnsi="Cambria Math"/>
            </w:rPr>
            <m:t>Mileage costs</m:t>
          </m:r>
          <m:r>
            <w:rPr>
              <w:rFonts w:ascii="Cambria Math" w:hAnsi="Cambria Math"/>
              <w:lang w:val="de-CH"/>
            </w:rPr>
            <m:t>=</m:t>
          </m:r>
          <m:f>
            <m:fPr>
              <m:ctrlPr>
                <w:rPr>
                  <w:rFonts w:ascii="Cambria Math" w:hAnsi="Cambria Math"/>
                  <w:i/>
                  <w:lang w:val="de-CH"/>
                </w:rPr>
              </m:ctrlPr>
            </m:fPr>
            <m:num>
              <m:r>
                <w:rPr>
                  <w:rFonts w:ascii="Cambria Math" w:hAnsi="Cambria Math"/>
                  <w:lang w:val="de-CH"/>
                </w:rPr>
                <m:t>yearly mileage</m:t>
              </m:r>
            </m:num>
            <m:den>
              <m:r>
                <w:rPr>
                  <w:rFonts w:ascii="Cambria Math" w:hAnsi="Cambria Math"/>
                  <w:lang w:val="de-CH"/>
                </w:rPr>
                <m:t>efficiency</m:t>
              </m:r>
            </m:den>
          </m:f>
          <m:r>
            <w:rPr>
              <w:rFonts w:ascii="Cambria Math" w:hAnsi="Cambria Math"/>
              <w:lang w:val="de-CH"/>
            </w:rPr>
            <m:t>*price of gasoline</m:t>
          </m:r>
        </m:oMath>
      </m:oMathPara>
    </w:p>
    <w:p w:rsidR="002E47F8" w:rsidRDefault="00584C4B" w:rsidP="00616AE8">
      <w:r>
        <w:rPr>
          <w:rFonts w:cs="Arial"/>
        </w:rPr>
        <w:t xml:space="preserve">The efficiency was based on a survey of fuel efficiencies amongst car fleet managers </w:t>
      </w:r>
      <w:r w:rsidR="00616AE8">
        <w:rPr>
          <w:rFonts w:cs="Arial"/>
        </w:rPr>
        <w:t xml:space="preserve">of high-tech companies </w:t>
      </w:r>
      <w:r>
        <w:rPr>
          <w:rFonts w:cs="Arial"/>
        </w:rPr>
        <w:t>in Israel.</w:t>
      </w:r>
      <w:r w:rsidR="00616AE8">
        <w:rPr>
          <w:rStyle w:val="FootnoteReference"/>
          <w:rFonts w:cs="Arial"/>
        </w:rPr>
        <w:footnoteReference w:id="30"/>
      </w:r>
      <w:r w:rsidR="00616AE8">
        <w:rPr>
          <w:rFonts w:cs="Arial"/>
        </w:rPr>
        <w:t xml:space="preserve"> </w:t>
      </w:r>
      <w:r>
        <w:rPr>
          <w:rFonts w:cs="Arial"/>
        </w:rPr>
        <w:t>All the reported efficiency levels were expressed in km</w:t>
      </w:r>
      <w:r w:rsidRPr="00584C4B">
        <w:rPr>
          <w:rFonts w:cs="Arial"/>
        </w:rPr>
        <w:t xml:space="preserve">/l and </w:t>
      </w:r>
      <w:r>
        <w:rPr>
          <w:rFonts w:cs="Arial"/>
        </w:rPr>
        <w:t>were assumed to have</w:t>
      </w:r>
      <w:r w:rsidRPr="00584C4B">
        <w:rPr>
          <w:rFonts w:cs="Arial"/>
        </w:rPr>
        <w:t xml:space="preserve"> an equal probability.</w:t>
      </w:r>
      <w:r w:rsidR="008D0E69">
        <w:t xml:space="preserve"> The mean efficiency was 10.19 km/liter.</w:t>
      </w:r>
    </w:p>
    <w:p w:rsidR="00584C4B" w:rsidRDefault="00584C4B" w:rsidP="00616AE8">
      <w:r>
        <w:t xml:space="preserve">Gasoline costs were fixed at NIS 6.38. This was the cheapest price for one liter of </w:t>
      </w:r>
      <w:proofErr w:type="spellStart"/>
      <w:r w:rsidR="00616AE8">
        <w:t>Benzin</w:t>
      </w:r>
      <w:proofErr w:type="spellEnd"/>
      <w:r w:rsidR="00616AE8">
        <w:t xml:space="preserve"> 95</w:t>
      </w:r>
      <w:r w:rsidR="00CF4D85">
        <w:t>.</w:t>
      </w:r>
      <w:r w:rsidR="00CF4D85">
        <w:rPr>
          <w:rStyle w:val="FootnoteReference"/>
        </w:rPr>
        <w:footnoteReference w:id="31"/>
      </w:r>
    </w:p>
    <w:p w:rsidR="000735AD" w:rsidRPr="00811A42" w:rsidRDefault="00AA4F47" w:rsidP="00E67DB8">
      <w:pPr>
        <w:pStyle w:val="Subtitle"/>
      </w:pPr>
      <w:r>
        <w:t>Comparison of C</w:t>
      </w:r>
      <w:r w:rsidR="000735AD">
        <w:t>osts</w:t>
      </w:r>
      <w:r w:rsidR="00811A42">
        <w:t xml:space="preserve"> </w:t>
      </w:r>
      <w:r w:rsidR="00811A42" w:rsidRPr="00811A42">
        <w:t>(in NIS, per 1.3.2010</w:t>
      </w:r>
      <w:r w:rsidR="00811A42">
        <w:t xml:space="preserve">, USD </w:t>
      </w:r>
      <w:r w:rsidR="00811A42" w:rsidRPr="007D3619">
        <w:t>= 3.79 NIS</w:t>
      </w:r>
      <w:r w:rsidR="00811A42" w:rsidRPr="00811A42">
        <w:t>)</w:t>
      </w:r>
    </w:p>
    <w:tbl>
      <w:tblPr>
        <w:tblStyle w:val="LightList1"/>
        <w:tblW w:w="0" w:type="auto"/>
        <w:tblLayout w:type="fixed"/>
        <w:tblLook w:val="04A0" w:firstRow="1" w:lastRow="0" w:firstColumn="1" w:lastColumn="0" w:noHBand="0" w:noVBand="1"/>
      </w:tblPr>
      <w:tblGrid>
        <w:gridCol w:w="824"/>
        <w:gridCol w:w="1168"/>
        <w:gridCol w:w="1660"/>
        <w:gridCol w:w="1276"/>
        <w:gridCol w:w="1417"/>
        <w:gridCol w:w="1276"/>
        <w:gridCol w:w="709"/>
        <w:gridCol w:w="1858"/>
      </w:tblGrid>
      <w:tr w:rsidR="00811A42" w:rsidRPr="002E47F8" w:rsidTr="00A720F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24" w:type="dxa"/>
            <w:noWrap/>
            <w:hideMark/>
          </w:tcPr>
          <w:p w:rsidR="002E47F8" w:rsidRPr="002E47F8" w:rsidRDefault="002E47F8" w:rsidP="002E47F8">
            <w:pPr>
              <w:widowControl/>
              <w:suppressAutoHyphens w:val="0"/>
              <w:spacing w:line="240" w:lineRule="auto"/>
              <w:jc w:val="left"/>
              <w:rPr>
                <w:rFonts w:ascii="Arial" w:eastAsia="Times New Roman" w:hAnsi="Arial" w:cs="Arial"/>
                <w:kern w:val="0"/>
                <w:sz w:val="20"/>
                <w:szCs w:val="20"/>
                <w:lang w:eastAsia="en-US"/>
              </w:rPr>
            </w:pPr>
          </w:p>
        </w:tc>
        <w:tc>
          <w:tcPr>
            <w:tcW w:w="1168" w:type="dxa"/>
            <w:noWrap/>
            <w:hideMark/>
          </w:tcPr>
          <w:p w:rsidR="002E47F8" w:rsidRPr="002E47F8" w:rsidRDefault="002E47F8" w:rsidP="002E47F8">
            <w:pPr>
              <w:widowControl/>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2E47F8">
              <w:rPr>
                <w:rFonts w:ascii="Arial" w:eastAsia="Times New Roman" w:hAnsi="Arial" w:cs="Arial"/>
                <w:kern w:val="0"/>
                <w:sz w:val="20"/>
                <w:szCs w:val="20"/>
                <w:lang w:eastAsia="en-US"/>
              </w:rPr>
              <w:t>Purchase Price</w:t>
            </w:r>
          </w:p>
        </w:tc>
        <w:tc>
          <w:tcPr>
            <w:tcW w:w="1660" w:type="dxa"/>
            <w:noWrap/>
            <w:hideMark/>
          </w:tcPr>
          <w:p w:rsidR="002E47F8" w:rsidRPr="002E47F8" w:rsidRDefault="002E47F8" w:rsidP="002E47F8">
            <w:pPr>
              <w:widowControl/>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2E47F8">
              <w:rPr>
                <w:rFonts w:ascii="Arial" w:eastAsia="Times New Roman" w:hAnsi="Arial" w:cs="Arial"/>
                <w:kern w:val="0"/>
                <w:sz w:val="20"/>
                <w:szCs w:val="20"/>
                <w:lang w:eastAsia="en-US"/>
              </w:rPr>
              <w:t>Financing</w:t>
            </w:r>
          </w:p>
        </w:tc>
        <w:tc>
          <w:tcPr>
            <w:tcW w:w="1276" w:type="dxa"/>
            <w:noWrap/>
            <w:hideMark/>
          </w:tcPr>
          <w:p w:rsidR="002E47F8" w:rsidRPr="002E47F8" w:rsidRDefault="002E47F8" w:rsidP="002E47F8">
            <w:pPr>
              <w:widowControl/>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2E47F8">
              <w:rPr>
                <w:rFonts w:ascii="Arial" w:eastAsia="Times New Roman" w:hAnsi="Arial" w:cs="Arial"/>
                <w:kern w:val="0"/>
                <w:sz w:val="20"/>
                <w:szCs w:val="20"/>
                <w:lang w:eastAsia="en-US"/>
              </w:rPr>
              <w:t>Insurance</w:t>
            </w:r>
          </w:p>
        </w:tc>
        <w:tc>
          <w:tcPr>
            <w:tcW w:w="1417" w:type="dxa"/>
            <w:noWrap/>
            <w:hideMark/>
          </w:tcPr>
          <w:p w:rsidR="002E47F8" w:rsidRPr="002E47F8" w:rsidRDefault="002E47F8" w:rsidP="002E47F8">
            <w:pPr>
              <w:widowControl/>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2E47F8">
              <w:rPr>
                <w:rFonts w:ascii="Arial" w:eastAsia="Times New Roman" w:hAnsi="Arial" w:cs="Arial"/>
                <w:kern w:val="0"/>
                <w:sz w:val="20"/>
                <w:szCs w:val="20"/>
                <w:lang w:eastAsia="en-US"/>
              </w:rPr>
              <w:t>Registration</w:t>
            </w:r>
          </w:p>
        </w:tc>
        <w:tc>
          <w:tcPr>
            <w:tcW w:w="1276" w:type="dxa"/>
            <w:noWrap/>
            <w:hideMark/>
          </w:tcPr>
          <w:p w:rsidR="002E47F8" w:rsidRPr="002E47F8" w:rsidRDefault="002E47F8" w:rsidP="002E47F8">
            <w:pPr>
              <w:widowControl/>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2E47F8">
              <w:rPr>
                <w:rFonts w:ascii="Arial" w:eastAsia="Times New Roman" w:hAnsi="Arial" w:cs="Arial"/>
                <w:kern w:val="0"/>
                <w:sz w:val="20"/>
                <w:szCs w:val="20"/>
                <w:lang w:eastAsia="en-US"/>
              </w:rPr>
              <w:t>Repairs</w:t>
            </w:r>
          </w:p>
        </w:tc>
        <w:tc>
          <w:tcPr>
            <w:tcW w:w="709" w:type="dxa"/>
            <w:noWrap/>
            <w:hideMark/>
          </w:tcPr>
          <w:p w:rsidR="002E47F8" w:rsidRPr="002E47F8" w:rsidRDefault="002E47F8" w:rsidP="002E47F8">
            <w:pPr>
              <w:widowControl/>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2E47F8">
              <w:rPr>
                <w:rFonts w:ascii="Arial" w:eastAsia="Times New Roman" w:hAnsi="Arial" w:cs="Arial"/>
                <w:kern w:val="0"/>
                <w:sz w:val="20"/>
                <w:szCs w:val="20"/>
                <w:lang w:eastAsia="en-US"/>
              </w:rPr>
              <w:t>Gas / liter</w:t>
            </w:r>
          </w:p>
        </w:tc>
        <w:tc>
          <w:tcPr>
            <w:tcW w:w="1858" w:type="dxa"/>
            <w:noWrap/>
            <w:hideMark/>
          </w:tcPr>
          <w:p w:rsidR="002E47F8" w:rsidRPr="002E47F8" w:rsidRDefault="002E47F8" w:rsidP="002E47F8">
            <w:pPr>
              <w:widowControl/>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2E47F8">
              <w:rPr>
                <w:rFonts w:ascii="Arial" w:eastAsia="Times New Roman" w:hAnsi="Arial" w:cs="Arial"/>
                <w:kern w:val="0"/>
                <w:sz w:val="20"/>
                <w:szCs w:val="20"/>
                <w:lang w:eastAsia="en-US"/>
              </w:rPr>
              <w:t>Gas costs</w:t>
            </w:r>
          </w:p>
        </w:tc>
      </w:tr>
      <w:tr w:rsidR="00811A42" w:rsidRPr="002E47F8" w:rsidTr="00A720F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24" w:type="dxa"/>
            <w:noWrap/>
            <w:hideMark/>
          </w:tcPr>
          <w:p w:rsidR="002E47F8" w:rsidRPr="002E47F8" w:rsidRDefault="002E47F8" w:rsidP="002E47F8">
            <w:pPr>
              <w:widowControl/>
              <w:suppressAutoHyphens w:val="0"/>
              <w:spacing w:line="240" w:lineRule="auto"/>
              <w:jc w:val="left"/>
              <w:rPr>
                <w:rFonts w:ascii="Arial" w:eastAsia="Times New Roman" w:hAnsi="Arial" w:cs="Arial"/>
                <w:kern w:val="0"/>
                <w:sz w:val="20"/>
                <w:szCs w:val="20"/>
                <w:lang w:eastAsia="en-US"/>
              </w:rPr>
            </w:pPr>
            <w:r w:rsidRPr="002E47F8">
              <w:rPr>
                <w:rFonts w:ascii="Arial" w:eastAsia="Times New Roman" w:hAnsi="Arial" w:cs="Arial"/>
                <w:kern w:val="0"/>
                <w:sz w:val="20"/>
                <w:szCs w:val="20"/>
                <w:lang w:eastAsia="en-US"/>
              </w:rPr>
              <w:t>Tel Aviv</w:t>
            </w:r>
          </w:p>
        </w:tc>
        <w:tc>
          <w:tcPr>
            <w:tcW w:w="1168" w:type="dxa"/>
            <w:noWrap/>
            <w:hideMark/>
          </w:tcPr>
          <w:p w:rsidR="002E47F8" w:rsidRPr="002E47F8" w:rsidRDefault="002E47F8" w:rsidP="002E47F8">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2E47F8">
              <w:rPr>
                <w:rFonts w:ascii="Arial" w:eastAsia="Times New Roman" w:hAnsi="Arial" w:cs="Arial"/>
                <w:kern w:val="0"/>
                <w:sz w:val="20"/>
                <w:szCs w:val="20"/>
                <w:lang w:eastAsia="en-US"/>
              </w:rPr>
              <w:t>105000</w:t>
            </w:r>
          </w:p>
        </w:tc>
        <w:tc>
          <w:tcPr>
            <w:tcW w:w="1660" w:type="dxa"/>
            <w:noWrap/>
            <w:hideMark/>
          </w:tcPr>
          <w:p w:rsidR="002E47F8" w:rsidRPr="002E47F8" w:rsidRDefault="002E47F8" w:rsidP="002E47F8">
            <w:pPr>
              <w:widowControl/>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2E47F8">
              <w:rPr>
                <w:rFonts w:ascii="Arial" w:eastAsia="Times New Roman" w:hAnsi="Arial" w:cs="Arial"/>
                <w:kern w:val="0"/>
                <w:sz w:val="20"/>
                <w:szCs w:val="20"/>
                <w:lang w:eastAsia="en-US"/>
              </w:rPr>
              <w:t>1.25% of depreciated purchase price</w:t>
            </w:r>
          </w:p>
        </w:tc>
        <w:tc>
          <w:tcPr>
            <w:tcW w:w="1276" w:type="dxa"/>
            <w:noWrap/>
            <w:hideMark/>
          </w:tcPr>
          <w:p w:rsidR="002E47F8" w:rsidRPr="002E47F8" w:rsidRDefault="002E47F8" w:rsidP="002E47F8">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2E47F8">
              <w:rPr>
                <w:rFonts w:ascii="Arial" w:eastAsia="Times New Roman" w:hAnsi="Arial" w:cs="Arial"/>
                <w:kern w:val="0"/>
                <w:sz w:val="20"/>
                <w:szCs w:val="20"/>
                <w:lang w:eastAsia="en-US"/>
              </w:rPr>
              <w:t>4479</w:t>
            </w:r>
          </w:p>
        </w:tc>
        <w:tc>
          <w:tcPr>
            <w:tcW w:w="1417" w:type="dxa"/>
            <w:noWrap/>
            <w:hideMark/>
          </w:tcPr>
          <w:p w:rsidR="002E47F8" w:rsidRPr="002E47F8" w:rsidRDefault="002E47F8" w:rsidP="002E47F8">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2E47F8">
              <w:rPr>
                <w:rFonts w:ascii="Arial" w:eastAsia="Times New Roman" w:hAnsi="Arial" w:cs="Arial"/>
                <w:kern w:val="0"/>
                <w:sz w:val="20"/>
                <w:szCs w:val="20"/>
                <w:lang w:eastAsia="en-US"/>
              </w:rPr>
              <w:t>1404</w:t>
            </w:r>
          </w:p>
        </w:tc>
        <w:tc>
          <w:tcPr>
            <w:tcW w:w="1276" w:type="dxa"/>
            <w:noWrap/>
            <w:hideMark/>
          </w:tcPr>
          <w:p w:rsidR="002E47F8" w:rsidRPr="002E47F8" w:rsidRDefault="002E47F8" w:rsidP="002E47F8">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2E47F8">
              <w:rPr>
                <w:rFonts w:ascii="Arial" w:eastAsia="Times New Roman" w:hAnsi="Arial" w:cs="Arial"/>
                <w:kern w:val="0"/>
                <w:sz w:val="20"/>
                <w:szCs w:val="20"/>
                <w:lang w:eastAsia="en-US"/>
              </w:rPr>
              <w:t>4000</w:t>
            </w:r>
          </w:p>
        </w:tc>
        <w:tc>
          <w:tcPr>
            <w:tcW w:w="709" w:type="dxa"/>
            <w:noWrap/>
            <w:hideMark/>
          </w:tcPr>
          <w:p w:rsidR="002E47F8" w:rsidRPr="002E47F8" w:rsidRDefault="002E47F8" w:rsidP="002E47F8">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2E47F8">
              <w:rPr>
                <w:rFonts w:ascii="Arial" w:eastAsia="Times New Roman" w:hAnsi="Arial" w:cs="Arial"/>
                <w:kern w:val="0"/>
                <w:sz w:val="20"/>
                <w:szCs w:val="20"/>
                <w:lang w:eastAsia="en-US"/>
              </w:rPr>
              <w:t>6.38</w:t>
            </w:r>
          </w:p>
        </w:tc>
        <w:tc>
          <w:tcPr>
            <w:tcW w:w="1858" w:type="dxa"/>
            <w:noWrap/>
            <w:hideMark/>
          </w:tcPr>
          <w:p w:rsidR="002E47F8" w:rsidRPr="002E47F8" w:rsidRDefault="002E47F8" w:rsidP="002E47F8">
            <w:pPr>
              <w:widowControl/>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2E47F8">
              <w:rPr>
                <w:rFonts w:ascii="Arial" w:eastAsia="Times New Roman" w:hAnsi="Arial" w:cs="Arial"/>
                <w:kern w:val="0"/>
                <w:sz w:val="20"/>
                <w:szCs w:val="20"/>
                <w:lang w:eastAsia="en-US"/>
              </w:rPr>
              <w:t>Function of Mileage and Fuel efficiency</w:t>
            </w:r>
          </w:p>
        </w:tc>
      </w:tr>
      <w:tr w:rsidR="00811A42" w:rsidRPr="002E47F8" w:rsidTr="00A720F4">
        <w:trPr>
          <w:trHeight w:val="255"/>
        </w:trPr>
        <w:tc>
          <w:tcPr>
            <w:cnfStyle w:val="001000000000" w:firstRow="0" w:lastRow="0" w:firstColumn="1" w:lastColumn="0" w:oddVBand="0" w:evenVBand="0" w:oddHBand="0" w:evenHBand="0" w:firstRowFirstColumn="0" w:firstRowLastColumn="0" w:lastRowFirstColumn="0" w:lastRowLastColumn="0"/>
            <w:tcW w:w="824" w:type="dxa"/>
            <w:noWrap/>
            <w:hideMark/>
          </w:tcPr>
          <w:p w:rsidR="002E47F8" w:rsidRPr="002E47F8" w:rsidRDefault="002E47F8" w:rsidP="002E47F8">
            <w:pPr>
              <w:widowControl/>
              <w:suppressAutoHyphens w:val="0"/>
              <w:spacing w:line="240" w:lineRule="auto"/>
              <w:jc w:val="left"/>
              <w:rPr>
                <w:rFonts w:ascii="Arial" w:eastAsia="Times New Roman" w:hAnsi="Arial" w:cs="Arial"/>
                <w:kern w:val="0"/>
                <w:sz w:val="20"/>
                <w:szCs w:val="20"/>
                <w:lang w:eastAsia="en-US"/>
              </w:rPr>
            </w:pPr>
            <w:proofErr w:type="spellStart"/>
            <w:r w:rsidRPr="002E47F8">
              <w:rPr>
                <w:rFonts w:ascii="Arial" w:eastAsia="Times New Roman" w:hAnsi="Arial" w:cs="Arial"/>
                <w:kern w:val="0"/>
                <w:sz w:val="20"/>
                <w:szCs w:val="20"/>
                <w:lang w:eastAsia="en-US"/>
              </w:rPr>
              <w:t>Balti</w:t>
            </w:r>
            <w:proofErr w:type="spellEnd"/>
            <w:r w:rsidR="00C811A6">
              <w:rPr>
                <w:rFonts w:ascii="Arial" w:eastAsia="Times New Roman" w:hAnsi="Arial" w:cs="Arial"/>
                <w:kern w:val="0"/>
                <w:sz w:val="20"/>
                <w:szCs w:val="20"/>
                <w:lang w:eastAsia="en-US"/>
              </w:rPr>
              <w:t>-</w:t>
            </w:r>
            <w:r w:rsidRPr="002E47F8">
              <w:rPr>
                <w:rFonts w:ascii="Arial" w:eastAsia="Times New Roman" w:hAnsi="Arial" w:cs="Arial"/>
                <w:kern w:val="0"/>
                <w:sz w:val="20"/>
                <w:szCs w:val="20"/>
                <w:lang w:eastAsia="en-US"/>
              </w:rPr>
              <w:t>more</w:t>
            </w:r>
          </w:p>
        </w:tc>
        <w:tc>
          <w:tcPr>
            <w:tcW w:w="1168" w:type="dxa"/>
            <w:noWrap/>
            <w:hideMark/>
          </w:tcPr>
          <w:p w:rsidR="002E47F8" w:rsidRPr="002E47F8" w:rsidRDefault="002E47F8" w:rsidP="002E47F8">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2E47F8">
              <w:rPr>
                <w:rFonts w:ascii="Arial" w:eastAsia="Times New Roman" w:hAnsi="Arial" w:cs="Arial"/>
                <w:kern w:val="0"/>
                <w:sz w:val="20"/>
                <w:szCs w:val="20"/>
                <w:lang w:eastAsia="en-US"/>
              </w:rPr>
              <w:t>81864</w:t>
            </w:r>
          </w:p>
        </w:tc>
        <w:tc>
          <w:tcPr>
            <w:tcW w:w="1660" w:type="dxa"/>
            <w:noWrap/>
            <w:hideMark/>
          </w:tcPr>
          <w:p w:rsidR="002E47F8" w:rsidRPr="002E47F8" w:rsidRDefault="002E47F8" w:rsidP="00A720F4">
            <w:pPr>
              <w:widowControl/>
              <w:suppressAutoHyphens w:val="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2E47F8">
              <w:rPr>
                <w:rFonts w:ascii="Arial" w:eastAsia="Times New Roman" w:hAnsi="Arial" w:cs="Arial"/>
                <w:kern w:val="0"/>
                <w:sz w:val="20"/>
                <w:szCs w:val="20"/>
                <w:lang w:eastAsia="en-US"/>
              </w:rPr>
              <w:t>842</w:t>
            </w:r>
          </w:p>
        </w:tc>
        <w:tc>
          <w:tcPr>
            <w:tcW w:w="1276" w:type="dxa"/>
            <w:noWrap/>
            <w:hideMark/>
          </w:tcPr>
          <w:p w:rsidR="002E47F8" w:rsidRPr="002E47F8" w:rsidRDefault="002E47F8" w:rsidP="002E47F8">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2E47F8">
              <w:rPr>
                <w:rFonts w:ascii="Arial" w:eastAsia="Times New Roman" w:hAnsi="Arial" w:cs="Arial"/>
                <w:kern w:val="0"/>
                <w:sz w:val="20"/>
                <w:szCs w:val="20"/>
                <w:lang w:eastAsia="en-US"/>
              </w:rPr>
              <w:t>3138</w:t>
            </w:r>
          </w:p>
        </w:tc>
        <w:tc>
          <w:tcPr>
            <w:tcW w:w="1417" w:type="dxa"/>
            <w:noWrap/>
            <w:hideMark/>
          </w:tcPr>
          <w:p w:rsidR="002E47F8" w:rsidRPr="002E47F8" w:rsidRDefault="002E47F8" w:rsidP="002E47F8">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2E47F8">
              <w:rPr>
                <w:rFonts w:ascii="Arial" w:eastAsia="Times New Roman" w:hAnsi="Arial" w:cs="Arial"/>
                <w:kern w:val="0"/>
                <w:sz w:val="20"/>
                <w:szCs w:val="20"/>
                <w:lang w:eastAsia="en-US"/>
              </w:rPr>
              <w:t>151</w:t>
            </w:r>
          </w:p>
        </w:tc>
        <w:tc>
          <w:tcPr>
            <w:tcW w:w="1276" w:type="dxa"/>
            <w:noWrap/>
            <w:hideMark/>
          </w:tcPr>
          <w:p w:rsidR="002E47F8" w:rsidRPr="002E47F8" w:rsidRDefault="002E47F8" w:rsidP="002E47F8">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2E47F8">
              <w:rPr>
                <w:rFonts w:ascii="Arial" w:eastAsia="Times New Roman" w:hAnsi="Arial" w:cs="Arial"/>
                <w:kern w:val="0"/>
                <w:sz w:val="20"/>
                <w:szCs w:val="20"/>
                <w:lang w:eastAsia="en-US"/>
              </w:rPr>
              <w:t>4548</w:t>
            </w:r>
          </w:p>
        </w:tc>
        <w:tc>
          <w:tcPr>
            <w:tcW w:w="709" w:type="dxa"/>
            <w:noWrap/>
            <w:hideMark/>
          </w:tcPr>
          <w:p w:rsidR="002E47F8" w:rsidRPr="002E47F8" w:rsidRDefault="002E47F8" w:rsidP="002E47F8">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2E47F8">
              <w:rPr>
                <w:rFonts w:ascii="Arial" w:eastAsia="Times New Roman" w:hAnsi="Arial" w:cs="Arial"/>
                <w:kern w:val="0"/>
                <w:sz w:val="20"/>
                <w:szCs w:val="20"/>
                <w:lang w:eastAsia="en-US"/>
              </w:rPr>
              <w:t>2.78</w:t>
            </w:r>
          </w:p>
        </w:tc>
        <w:tc>
          <w:tcPr>
            <w:tcW w:w="1858" w:type="dxa"/>
            <w:noWrap/>
            <w:hideMark/>
          </w:tcPr>
          <w:p w:rsidR="002E47F8" w:rsidRPr="002E47F8" w:rsidRDefault="002E47F8" w:rsidP="002E47F8">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2E47F8">
              <w:rPr>
                <w:rFonts w:ascii="Arial" w:eastAsia="Times New Roman" w:hAnsi="Arial" w:cs="Arial"/>
                <w:kern w:val="0"/>
                <w:sz w:val="20"/>
                <w:szCs w:val="20"/>
                <w:lang w:eastAsia="en-US"/>
              </w:rPr>
              <w:t>6420</w:t>
            </w:r>
          </w:p>
        </w:tc>
      </w:tr>
    </w:tbl>
    <w:p w:rsidR="005058B6" w:rsidRDefault="005058B6" w:rsidP="00E67DB8">
      <w:pPr>
        <w:spacing w:line="240" w:lineRule="auto"/>
        <w:rPr>
          <w:rFonts w:cs="Arial"/>
        </w:rPr>
      </w:pPr>
    </w:p>
    <w:tbl>
      <w:tblPr>
        <w:tblStyle w:val="LightList1"/>
        <w:tblW w:w="4361" w:type="dxa"/>
        <w:tblLook w:val="04A0" w:firstRow="1" w:lastRow="0" w:firstColumn="1" w:lastColumn="0" w:noHBand="0" w:noVBand="1"/>
      </w:tblPr>
      <w:tblGrid>
        <w:gridCol w:w="1139"/>
        <w:gridCol w:w="954"/>
        <w:gridCol w:w="961"/>
        <w:gridCol w:w="1307"/>
      </w:tblGrid>
      <w:tr w:rsidR="00811A42" w:rsidRPr="00296E73" w:rsidTr="00584C4B">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39" w:type="dxa"/>
            <w:noWrap/>
            <w:hideMark/>
          </w:tcPr>
          <w:p w:rsidR="00811A42" w:rsidRPr="00296E73" w:rsidRDefault="00811A42" w:rsidP="00584C4B">
            <w:pPr>
              <w:widowControl/>
              <w:suppressAutoHyphens w:val="0"/>
              <w:spacing w:line="240" w:lineRule="auto"/>
              <w:rPr>
                <w:rFonts w:ascii="Arial" w:eastAsia="Times New Roman" w:hAnsi="Arial" w:cs="Arial"/>
                <w:kern w:val="0"/>
                <w:sz w:val="20"/>
                <w:szCs w:val="20"/>
                <w:lang w:eastAsia="en-US"/>
              </w:rPr>
            </w:pPr>
          </w:p>
        </w:tc>
        <w:tc>
          <w:tcPr>
            <w:tcW w:w="954" w:type="dxa"/>
            <w:noWrap/>
            <w:hideMark/>
          </w:tcPr>
          <w:p w:rsidR="00811A42" w:rsidRPr="00296E73" w:rsidRDefault="00811A42" w:rsidP="00584C4B">
            <w:pPr>
              <w:widowControl/>
              <w:suppressAutoHyphens w:val="0"/>
              <w:spacing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296E73">
              <w:rPr>
                <w:rFonts w:ascii="Arial" w:eastAsia="Times New Roman" w:hAnsi="Arial" w:cs="Arial"/>
                <w:kern w:val="0"/>
                <w:sz w:val="20"/>
                <w:szCs w:val="20"/>
                <w:lang w:eastAsia="en-US"/>
              </w:rPr>
              <w:t>Km</w:t>
            </w:r>
          </w:p>
        </w:tc>
        <w:tc>
          <w:tcPr>
            <w:tcW w:w="961" w:type="dxa"/>
            <w:noWrap/>
            <w:hideMark/>
          </w:tcPr>
          <w:p w:rsidR="00811A42" w:rsidRPr="00296E73" w:rsidRDefault="00811A42" w:rsidP="00584C4B">
            <w:pPr>
              <w:widowControl/>
              <w:suppressAutoHyphens w:val="0"/>
              <w:spacing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296E73">
              <w:rPr>
                <w:rFonts w:ascii="Arial" w:eastAsia="Times New Roman" w:hAnsi="Arial" w:cs="Arial"/>
                <w:kern w:val="0"/>
                <w:sz w:val="20"/>
                <w:szCs w:val="20"/>
                <w:lang w:eastAsia="en-US"/>
              </w:rPr>
              <w:t>Hour</w:t>
            </w:r>
          </w:p>
        </w:tc>
        <w:tc>
          <w:tcPr>
            <w:tcW w:w="1307" w:type="dxa"/>
            <w:noWrap/>
            <w:hideMark/>
          </w:tcPr>
          <w:p w:rsidR="00811A42" w:rsidRPr="00296E73" w:rsidRDefault="00811A42" w:rsidP="00584C4B">
            <w:pPr>
              <w:widowControl/>
              <w:suppressAutoHyphens w:val="0"/>
              <w:spacing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296E73">
              <w:rPr>
                <w:rFonts w:ascii="Arial" w:eastAsia="Times New Roman" w:hAnsi="Arial" w:cs="Arial"/>
                <w:kern w:val="0"/>
                <w:sz w:val="20"/>
                <w:szCs w:val="20"/>
                <w:lang w:eastAsia="en-US"/>
              </w:rPr>
              <w:t>Yearly fee</w:t>
            </w:r>
          </w:p>
        </w:tc>
      </w:tr>
      <w:tr w:rsidR="00811A42" w:rsidRPr="00296E73" w:rsidTr="00584C4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39" w:type="dxa"/>
            <w:noWrap/>
            <w:hideMark/>
          </w:tcPr>
          <w:p w:rsidR="00811A42" w:rsidRDefault="00811A42" w:rsidP="00584C4B">
            <w:pPr>
              <w:widowControl/>
              <w:suppressAutoHyphens w:val="0"/>
              <w:spacing w:line="240" w:lineRule="auto"/>
              <w:rPr>
                <w:rFonts w:ascii="Arial" w:eastAsia="Times New Roman" w:hAnsi="Arial" w:cs="Arial"/>
                <w:kern w:val="0"/>
                <w:sz w:val="20"/>
                <w:szCs w:val="20"/>
                <w:lang w:eastAsia="en-US"/>
              </w:rPr>
            </w:pPr>
            <w:r w:rsidRPr="00296E73">
              <w:rPr>
                <w:rFonts w:ascii="Arial" w:eastAsia="Times New Roman" w:hAnsi="Arial" w:cs="Arial"/>
                <w:kern w:val="0"/>
                <w:sz w:val="20"/>
                <w:szCs w:val="20"/>
                <w:lang w:eastAsia="en-US"/>
              </w:rPr>
              <w:t>Tel Aviv</w:t>
            </w:r>
          </w:p>
          <w:p w:rsidR="00811A42" w:rsidRPr="00296E73" w:rsidRDefault="00811A42" w:rsidP="00584C4B">
            <w:pPr>
              <w:widowControl/>
              <w:suppressAutoHyphens w:val="0"/>
              <w:spacing w:line="240" w:lineRule="auto"/>
              <w:rPr>
                <w:rFonts w:ascii="Arial" w:eastAsia="Times New Roman" w:hAnsi="Arial" w:cs="Arial"/>
                <w:kern w:val="0"/>
                <w:sz w:val="20"/>
                <w:szCs w:val="20"/>
                <w:lang w:val="de-CH" w:eastAsia="en-US"/>
              </w:rPr>
            </w:pPr>
            <w:r>
              <w:rPr>
                <w:rFonts w:ascii="Arial" w:eastAsia="Times New Roman" w:hAnsi="Arial" w:cs="Arial"/>
                <w:kern w:val="0"/>
                <w:sz w:val="20"/>
                <w:szCs w:val="20"/>
                <w:lang w:val="de-CH" w:eastAsia="en-US"/>
              </w:rPr>
              <w:t>Value +</w:t>
            </w:r>
          </w:p>
        </w:tc>
        <w:tc>
          <w:tcPr>
            <w:tcW w:w="954" w:type="dxa"/>
            <w:noWrap/>
            <w:hideMark/>
          </w:tcPr>
          <w:p w:rsidR="00811A42" w:rsidRPr="00296E73" w:rsidRDefault="00811A42" w:rsidP="00584C4B">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296E73">
              <w:rPr>
                <w:rFonts w:ascii="Arial" w:eastAsia="Times New Roman" w:hAnsi="Arial" w:cs="Arial"/>
                <w:kern w:val="0"/>
                <w:sz w:val="20"/>
                <w:szCs w:val="20"/>
                <w:lang w:eastAsia="en-US"/>
              </w:rPr>
              <w:t>0.95</w:t>
            </w:r>
          </w:p>
        </w:tc>
        <w:tc>
          <w:tcPr>
            <w:tcW w:w="961" w:type="dxa"/>
            <w:noWrap/>
            <w:hideMark/>
          </w:tcPr>
          <w:p w:rsidR="00811A42" w:rsidRPr="00296E73" w:rsidRDefault="00811A42" w:rsidP="00584C4B">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296E73">
              <w:rPr>
                <w:rFonts w:ascii="Arial" w:eastAsia="Times New Roman" w:hAnsi="Arial" w:cs="Arial"/>
                <w:kern w:val="0"/>
                <w:sz w:val="20"/>
                <w:szCs w:val="20"/>
                <w:lang w:eastAsia="en-US"/>
              </w:rPr>
              <w:t>9</w:t>
            </w:r>
          </w:p>
        </w:tc>
        <w:tc>
          <w:tcPr>
            <w:tcW w:w="1307" w:type="dxa"/>
            <w:noWrap/>
            <w:hideMark/>
          </w:tcPr>
          <w:p w:rsidR="00811A42" w:rsidRPr="00296E73" w:rsidRDefault="00436961" w:rsidP="00584C4B">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Pr>
                <w:rFonts w:ascii="Arial" w:eastAsia="Times New Roman" w:hAnsi="Arial" w:cs="Arial"/>
                <w:kern w:val="0"/>
                <w:sz w:val="20"/>
                <w:szCs w:val="20"/>
                <w:lang w:eastAsia="en-US"/>
              </w:rPr>
              <w:t>2748</w:t>
            </w:r>
          </w:p>
        </w:tc>
      </w:tr>
      <w:tr w:rsidR="00811A42" w:rsidRPr="00296E73" w:rsidTr="00584C4B">
        <w:trPr>
          <w:trHeight w:val="255"/>
        </w:trPr>
        <w:tc>
          <w:tcPr>
            <w:cnfStyle w:val="001000000000" w:firstRow="0" w:lastRow="0" w:firstColumn="1" w:lastColumn="0" w:oddVBand="0" w:evenVBand="0" w:oddHBand="0" w:evenHBand="0" w:firstRowFirstColumn="0" w:firstRowLastColumn="0" w:lastRowFirstColumn="0" w:lastRowLastColumn="0"/>
            <w:tcW w:w="1139" w:type="dxa"/>
            <w:noWrap/>
            <w:hideMark/>
          </w:tcPr>
          <w:p w:rsidR="00811A42" w:rsidRDefault="00811A42" w:rsidP="00584C4B">
            <w:pPr>
              <w:widowControl/>
              <w:suppressAutoHyphens w:val="0"/>
              <w:spacing w:line="240" w:lineRule="auto"/>
              <w:rPr>
                <w:rFonts w:ascii="Arial" w:eastAsia="Times New Roman" w:hAnsi="Arial" w:cs="Arial"/>
                <w:kern w:val="0"/>
                <w:sz w:val="20"/>
                <w:szCs w:val="20"/>
                <w:lang w:eastAsia="en-US"/>
              </w:rPr>
            </w:pPr>
            <w:r w:rsidRPr="00296E73">
              <w:rPr>
                <w:rFonts w:ascii="Arial" w:eastAsia="Times New Roman" w:hAnsi="Arial" w:cs="Arial"/>
                <w:kern w:val="0"/>
                <w:sz w:val="20"/>
                <w:szCs w:val="20"/>
                <w:lang w:eastAsia="en-US"/>
              </w:rPr>
              <w:t>Baltimore</w:t>
            </w:r>
          </w:p>
          <w:p w:rsidR="00811A42" w:rsidRPr="00296E73" w:rsidRDefault="00811A42" w:rsidP="00584C4B">
            <w:pPr>
              <w:widowControl/>
              <w:suppressAutoHyphens w:val="0"/>
              <w:spacing w:line="240" w:lineRule="auto"/>
              <w:rPr>
                <w:rFonts w:ascii="Arial" w:eastAsia="Times New Roman" w:hAnsi="Arial" w:cs="Arial"/>
                <w:kern w:val="0"/>
                <w:sz w:val="20"/>
                <w:szCs w:val="20"/>
                <w:lang w:eastAsia="en-US"/>
              </w:rPr>
            </w:pPr>
            <w:r>
              <w:rPr>
                <w:rFonts w:ascii="Arial" w:eastAsia="Times New Roman" w:hAnsi="Arial" w:cs="Arial"/>
                <w:kern w:val="0"/>
                <w:sz w:val="20"/>
                <w:szCs w:val="20"/>
                <w:lang w:eastAsia="en-US"/>
              </w:rPr>
              <w:t>(Schuster et. al)</w:t>
            </w:r>
          </w:p>
        </w:tc>
        <w:tc>
          <w:tcPr>
            <w:tcW w:w="954" w:type="dxa"/>
            <w:noWrap/>
            <w:hideMark/>
          </w:tcPr>
          <w:p w:rsidR="00811A42" w:rsidRPr="00296E73" w:rsidRDefault="00811A42" w:rsidP="00584C4B">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296E73">
              <w:rPr>
                <w:rFonts w:ascii="Arial" w:eastAsia="Times New Roman" w:hAnsi="Arial" w:cs="Arial"/>
                <w:kern w:val="0"/>
                <w:sz w:val="20"/>
                <w:szCs w:val="20"/>
                <w:lang w:eastAsia="en-US"/>
              </w:rPr>
              <w:t>0.8</w:t>
            </w:r>
            <w:r>
              <w:rPr>
                <w:rFonts w:ascii="Arial" w:eastAsia="Times New Roman" w:hAnsi="Arial" w:cs="Arial"/>
                <w:kern w:val="0"/>
                <w:sz w:val="20"/>
                <w:szCs w:val="20"/>
                <w:lang w:eastAsia="en-US"/>
              </w:rPr>
              <w:t>3</w:t>
            </w:r>
          </w:p>
        </w:tc>
        <w:tc>
          <w:tcPr>
            <w:tcW w:w="961" w:type="dxa"/>
            <w:noWrap/>
            <w:hideMark/>
          </w:tcPr>
          <w:p w:rsidR="00811A42" w:rsidRDefault="00811A42" w:rsidP="00584C4B">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296E73">
              <w:rPr>
                <w:rFonts w:ascii="Arial" w:eastAsia="Times New Roman" w:hAnsi="Arial" w:cs="Arial"/>
                <w:kern w:val="0"/>
                <w:sz w:val="20"/>
                <w:szCs w:val="20"/>
                <w:lang w:eastAsia="en-US"/>
              </w:rPr>
              <w:t>34</w:t>
            </w:r>
          </w:p>
          <w:p w:rsidR="00811A42" w:rsidRPr="00296E73" w:rsidRDefault="00811A42" w:rsidP="00584C4B">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val="de-CH" w:eastAsia="en-US"/>
              </w:rPr>
            </w:pPr>
            <w:r>
              <w:rPr>
                <w:rFonts w:ascii="Arial" w:eastAsia="Times New Roman" w:hAnsi="Arial" w:cs="Arial"/>
                <w:kern w:val="0"/>
                <w:sz w:val="20"/>
                <w:szCs w:val="20"/>
                <w:lang w:val="de-CH" w:eastAsia="en-US"/>
              </w:rPr>
              <w:t>Includes 10 miles an hour</w:t>
            </w:r>
          </w:p>
        </w:tc>
        <w:tc>
          <w:tcPr>
            <w:tcW w:w="1307" w:type="dxa"/>
            <w:noWrap/>
            <w:hideMark/>
          </w:tcPr>
          <w:p w:rsidR="00811A42" w:rsidRPr="00296E73" w:rsidRDefault="00811A42" w:rsidP="00584C4B">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Pr>
                <w:rFonts w:ascii="Arial" w:eastAsia="Times New Roman" w:hAnsi="Arial" w:cs="Arial"/>
                <w:kern w:val="0"/>
                <w:sz w:val="20"/>
                <w:szCs w:val="20"/>
                <w:lang w:eastAsia="en-US"/>
              </w:rPr>
              <w:t>95</w:t>
            </w:r>
          </w:p>
        </w:tc>
      </w:tr>
    </w:tbl>
    <w:p w:rsidR="00A3490C" w:rsidRDefault="00A3490C" w:rsidP="00E67DB8">
      <w:pPr>
        <w:pStyle w:val="Heading1"/>
      </w:pPr>
      <w:bookmarkStart w:id="11" w:name="_Toc263943204"/>
      <w:r>
        <w:t>Results</w:t>
      </w:r>
      <w:bookmarkEnd w:id="11"/>
    </w:p>
    <w:p w:rsidR="00A3490C" w:rsidRDefault="00D626F5" w:rsidP="00C811A6">
      <w:pPr>
        <w:rPr>
          <w:rFonts w:cs="Arial"/>
        </w:rPr>
      </w:pPr>
      <w:r>
        <w:rPr>
          <w:rFonts w:cs="Arial"/>
        </w:rPr>
        <w:t>The calculations were made in MS Excel, using the free Monte-Carlo add-on YASAI</w:t>
      </w:r>
      <w:r>
        <w:rPr>
          <w:rStyle w:val="FootnoteReference"/>
          <w:rFonts w:cs="Arial"/>
        </w:rPr>
        <w:footnoteReference w:id="32"/>
      </w:r>
      <w:r>
        <w:rPr>
          <w:rFonts w:cs="Arial"/>
        </w:rPr>
        <w:t>. Each scenario contained 200</w:t>
      </w:r>
      <w:r w:rsidR="00C811A6">
        <w:rPr>
          <w:rFonts w:cs="Arial"/>
        </w:rPr>
        <w:t>,</w:t>
      </w:r>
      <w:r>
        <w:rPr>
          <w:rFonts w:cs="Arial"/>
        </w:rPr>
        <w:t xml:space="preserve">000 iterations. </w:t>
      </w:r>
    </w:p>
    <w:p w:rsidR="00E67DB8" w:rsidRDefault="00E67DB8" w:rsidP="00E67DB8">
      <w:pPr>
        <w:pStyle w:val="Subtitle"/>
      </w:pPr>
      <w:r>
        <w:t>Base Case (Scenario 1)</w:t>
      </w:r>
    </w:p>
    <w:p w:rsidR="00C53EDC" w:rsidRDefault="00D626F5" w:rsidP="00C811A6">
      <w:pPr>
        <w:rPr>
          <w:rFonts w:cs="Arial"/>
        </w:rPr>
      </w:pPr>
      <w:r>
        <w:rPr>
          <w:rFonts w:cs="Arial"/>
        </w:rPr>
        <w:t xml:space="preserve">The base case </w:t>
      </w:r>
      <w:r w:rsidR="00C53EDC">
        <w:rPr>
          <w:rFonts w:cs="Arial"/>
        </w:rPr>
        <w:t xml:space="preserve">(Scenario 1) </w:t>
      </w:r>
      <w:r w:rsidR="006C142E">
        <w:rPr>
          <w:rFonts w:cs="Arial"/>
        </w:rPr>
        <w:t>resulted in 42</w:t>
      </w:r>
      <w:r w:rsidR="00C811A6">
        <w:rPr>
          <w:rFonts w:cs="Arial"/>
        </w:rPr>
        <w:t>,</w:t>
      </w:r>
      <w:r w:rsidR="006C142E">
        <w:rPr>
          <w:rFonts w:cs="Arial"/>
        </w:rPr>
        <w:t xml:space="preserve">962 vehicles that returned </w:t>
      </w:r>
      <w:r w:rsidR="00443BD2">
        <w:rPr>
          <w:rFonts w:cs="Arial"/>
        </w:rPr>
        <w:t>carsharing</w:t>
      </w:r>
      <w:r w:rsidR="006C142E">
        <w:rPr>
          <w:rFonts w:cs="Arial"/>
        </w:rPr>
        <w:t xml:space="preserve">. </w:t>
      </w:r>
      <w:r w:rsidR="00341148">
        <w:rPr>
          <w:rFonts w:cs="Arial"/>
        </w:rPr>
        <w:t xml:space="preserve">This translates into 21.5% of all iterations! In order </w:t>
      </w:r>
      <w:r w:rsidR="000B090F">
        <w:rPr>
          <w:rFonts w:cs="Arial"/>
        </w:rPr>
        <w:t xml:space="preserve">to </w:t>
      </w:r>
      <w:r w:rsidR="00341148">
        <w:rPr>
          <w:rFonts w:cs="Arial"/>
        </w:rPr>
        <w:t>evaluate the results, th</w:t>
      </w:r>
      <w:r w:rsidR="000B090F">
        <w:rPr>
          <w:rFonts w:cs="Arial"/>
        </w:rPr>
        <w:t>e average capital (Depreciation and financing) and</w:t>
      </w:r>
      <w:r w:rsidR="006C142E">
        <w:rPr>
          <w:rFonts w:cs="Arial"/>
        </w:rPr>
        <w:t xml:space="preserve"> </w:t>
      </w:r>
      <w:r w:rsidR="000B090F">
        <w:rPr>
          <w:rFonts w:cs="Arial"/>
        </w:rPr>
        <w:t xml:space="preserve">gas costs were measured as were the average driven kilometers per vehicle. Capital costs </w:t>
      </w:r>
      <w:r w:rsidR="001349C5" w:rsidRPr="001349C5">
        <w:rPr>
          <w:rFonts w:cs="Arial"/>
        </w:rPr>
        <w:t xml:space="preserve">(depreciation and financing costs) </w:t>
      </w:r>
      <w:r w:rsidR="000B090F">
        <w:rPr>
          <w:rFonts w:cs="Arial"/>
        </w:rPr>
        <w:t>summed at NIS 11</w:t>
      </w:r>
      <w:r w:rsidR="00C811A6">
        <w:rPr>
          <w:rFonts w:cs="Arial"/>
        </w:rPr>
        <w:t>,</w:t>
      </w:r>
      <w:r w:rsidR="000B090F">
        <w:rPr>
          <w:rFonts w:cs="Arial"/>
        </w:rPr>
        <w:t>018, while gas expenses averaged at NIS 12</w:t>
      </w:r>
      <w:r w:rsidR="00C811A6">
        <w:rPr>
          <w:rFonts w:cs="Arial"/>
        </w:rPr>
        <w:t>,</w:t>
      </w:r>
      <w:r w:rsidR="000B090F">
        <w:rPr>
          <w:rFonts w:cs="Arial"/>
        </w:rPr>
        <w:t xml:space="preserve">775.  </w:t>
      </w:r>
      <w:r w:rsidR="00F7050E">
        <w:rPr>
          <w:rFonts w:cs="Arial"/>
        </w:rPr>
        <w:t xml:space="preserve">The </w:t>
      </w:r>
      <w:r w:rsidR="00C811A6">
        <w:rPr>
          <w:rFonts w:cs="Arial"/>
        </w:rPr>
        <w:t>high gas costs were caused by the</w:t>
      </w:r>
      <w:r w:rsidR="00F7050E">
        <w:rPr>
          <w:rFonts w:cs="Arial"/>
        </w:rPr>
        <w:t xml:space="preserve"> high average mileage, which was 19</w:t>
      </w:r>
      <w:r w:rsidR="00C811A6">
        <w:rPr>
          <w:rFonts w:cs="Arial"/>
        </w:rPr>
        <w:t>,</w:t>
      </w:r>
      <w:r w:rsidR="00F7050E">
        <w:rPr>
          <w:rFonts w:cs="Arial"/>
        </w:rPr>
        <w:t xml:space="preserve">722 km per year and vehicle. </w:t>
      </w:r>
      <w:r w:rsidR="00EA7BAB">
        <w:rPr>
          <w:rFonts w:cs="Arial"/>
        </w:rPr>
        <w:t>The mean purchase price was NIS 110</w:t>
      </w:r>
      <w:r w:rsidR="00C811A6">
        <w:rPr>
          <w:rFonts w:cs="Arial"/>
        </w:rPr>
        <w:t>,</w:t>
      </w:r>
      <w:r w:rsidR="00EA7BAB">
        <w:rPr>
          <w:rFonts w:cs="Arial"/>
        </w:rPr>
        <w:t>933.</w:t>
      </w:r>
    </w:p>
    <w:p w:rsidR="00C53EDC" w:rsidRDefault="00C53EDC" w:rsidP="00E67DB8">
      <w:pPr>
        <w:pStyle w:val="Subtitle"/>
      </w:pPr>
      <w:r>
        <w:t>Scenario 2</w:t>
      </w:r>
      <w:r w:rsidR="00C811A6">
        <w:t xml:space="preserve"> (Mileage-adjusted base case)</w:t>
      </w:r>
      <w:r>
        <w:t xml:space="preserve">: </w:t>
      </w:r>
    </w:p>
    <w:p w:rsidR="00D626F5" w:rsidRDefault="00F7050E" w:rsidP="00553860">
      <w:pPr>
        <w:rPr>
          <w:rFonts w:cs="Arial"/>
        </w:rPr>
      </w:pPr>
      <w:r>
        <w:rPr>
          <w:rFonts w:cs="Arial"/>
        </w:rPr>
        <w:t>In order to adjust the travel log sample more towards the Israeli reality, miles were multiplied by 1.35 instead of 1.6 in order to reach a yearly distance of closer to 16700 km per vehicle, which is the average mileage as reported by the Central Bureau of Statistics for 2008.</w:t>
      </w:r>
      <w:r>
        <w:rPr>
          <w:rStyle w:val="FootnoteReference"/>
          <w:rFonts w:cs="Arial"/>
        </w:rPr>
        <w:footnoteReference w:id="33"/>
      </w:r>
      <w:r>
        <w:rPr>
          <w:rFonts w:cs="Arial"/>
        </w:rPr>
        <w:t xml:space="preserve"> </w:t>
      </w:r>
      <w:r w:rsidR="00553860">
        <w:rPr>
          <w:rFonts w:cs="Arial"/>
        </w:rPr>
        <w:t>With an average of 16,585</w:t>
      </w:r>
      <w:r w:rsidR="00C53EDC">
        <w:rPr>
          <w:rFonts w:cs="Arial"/>
        </w:rPr>
        <w:t xml:space="preserve"> km per year, the </w:t>
      </w:r>
      <w:r w:rsidR="00443BD2">
        <w:rPr>
          <w:rFonts w:cs="Arial"/>
        </w:rPr>
        <w:t>carsharing</w:t>
      </w:r>
      <w:r w:rsidR="00C53EDC">
        <w:rPr>
          <w:rFonts w:cs="Arial"/>
        </w:rPr>
        <w:t xml:space="preserve"> percent</w:t>
      </w:r>
      <w:r w:rsidR="00553860">
        <w:rPr>
          <w:rFonts w:cs="Arial"/>
        </w:rPr>
        <w:t>age climbed even higher to 22.29</w:t>
      </w:r>
      <w:r w:rsidR="00C53EDC">
        <w:rPr>
          <w:rFonts w:cs="Arial"/>
        </w:rPr>
        <w:t>%, while gas costs declin</w:t>
      </w:r>
      <w:r w:rsidR="00874E8E">
        <w:rPr>
          <w:rFonts w:cs="Arial"/>
        </w:rPr>
        <w:t>ed to NIS 107</w:t>
      </w:r>
      <w:r w:rsidR="00BE1A37">
        <w:rPr>
          <w:rFonts w:cs="Arial"/>
        </w:rPr>
        <w:t>3</w:t>
      </w:r>
      <w:r w:rsidR="00553860">
        <w:rPr>
          <w:rFonts w:cs="Arial"/>
        </w:rPr>
        <w:t>6</w:t>
      </w:r>
      <w:r w:rsidR="00C53EDC">
        <w:rPr>
          <w:rFonts w:cs="Arial"/>
        </w:rPr>
        <w:t xml:space="preserve"> and capital costs to NIS </w:t>
      </w:r>
      <w:r w:rsidR="00553860">
        <w:rPr>
          <w:rFonts w:cs="Arial"/>
        </w:rPr>
        <w:t>10,967</w:t>
      </w:r>
      <w:r w:rsidR="00874E8E">
        <w:rPr>
          <w:rFonts w:cs="Arial"/>
        </w:rPr>
        <w:t>.</w:t>
      </w:r>
    </w:p>
    <w:p w:rsidR="001349C5" w:rsidRDefault="001349C5" w:rsidP="00F7050E">
      <w:pPr>
        <w:rPr>
          <w:rFonts w:cs="Arial"/>
        </w:rPr>
      </w:pPr>
      <w:r>
        <w:rPr>
          <w:rFonts w:cs="Arial"/>
        </w:rPr>
        <w:lastRenderedPageBreak/>
        <w:t xml:space="preserve">The mileage-adjusted base case produced the following distribution of ownership </w:t>
      </w:r>
      <w:r w:rsidR="00874E8E">
        <w:rPr>
          <w:rFonts w:cs="Arial"/>
        </w:rPr>
        <w:t xml:space="preserve">and sharing </w:t>
      </w:r>
      <w:r>
        <w:rPr>
          <w:rFonts w:cs="Arial"/>
        </w:rPr>
        <w:t>costs.</w:t>
      </w:r>
    </w:p>
    <w:p w:rsidR="001349C5" w:rsidRDefault="00553860" w:rsidP="00F7050E">
      <w:pPr>
        <w:rPr>
          <w:rFonts w:cs="Arial"/>
        </w:rPr>
      </w:pPr>
      <w:r w:rsidRPr="00553860">
        <w:rPr>
          <w:rFonts w:cs="Arial"/>
          <w:noProof/>
          <w:lang w:eastAsia="en-US"/>
        </w:rPr>
        <w:drawing>
          <wp:inline distT="0" distB="0" distL="0" distR="0">
            <wp:extent cx="4572000" cy="2743200"/>
            <wp:effectExtent l="19050" t="0" r="1905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74E8E" w:rsidRDefault="00553860" w:rsidP="00F7050E">
      <w:pPr>
        <w:rPr>
          <w:rFonts w:cs="Arial"/>
        </w:rPr>
      </w:pPr>
      <w:r w:rsidRPr="00553860">
        <w:rPr>
          <w:rFonts w:cs="Arial"/>
          <w:noProof/>
          <w:lang w:eastAsia="en-US"/>
        </w:rPr>
        <w:drawing>
          <wp:inline distT="0" distB="0" distL="0" distR="0">
            <wp:extent cx="4572000" cy="2743200"/>
            <wp:effectExtent l="19050" t="0" r="1905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E236A" w:rsidRDefault="00C53EDC" w:rsidP="00FA0AB0">
      <w:pPr>
        <w:rPr>
          <w:rFonts w:cs="Arial"/>
        </w:rPr>
      </w:pPr>
      <w:r>
        <w:rPr>
          <w:rFonts w:cs="Arial"/>
        </w:rPr>
        <w:t xml:space="preserve">Results of more than 20% were unexpectedly high. In order to test the methodology and the trip journals, the same Excel sheet was </w:t>
      </w:r>
      <w:r w:rsidR="00A77898">
        <w:rPr>
          <w:rFonts w:cs="Arial"/>
        </w:rPr>
        <w:t>computed</w:t>
      </w:r>
      <w:r>
        <w:rPr>
          <w:rFonts w:cs="Arial"/>
        </w:rPr>
        <w:t xml:space="preserve"> with the data and pricing model from Schuster et al., </w:t>
      </w:r>
      <w:r w:rsidR="00FA0AB0">
        <w:rPr>
          <w:rFonts w:cs="Arial"/>
        </w:rPr>
        <w:t>but with the same</w:t>
      </w:r>
      <w:r>
        <w:rPr>
          <w:rFonts w:cs="Arial"/>
        </w:rPr>
        <w:t xml:space="preserve"> travel logs. This resulted in a </w:t>
      </w:r>
      <w:r w:rsidR="00443BD2">
        <w:rPr>
          <w:rFonts w:cs="Arial"/>
        </w:rPr>
        <w:t>carsharing</w:t>
      </w:r>
      <w:r w:rsidR="00FA0AB0">
        <w:rPr>
          <w:rFonts w:cs="Arial"/>
        </w:rPr>
        <w:t xml:space="preserve"> rate of 5.26%. This is </w:t>
      </w:r>
      <w:r>
        <w:rPr>
          <w:rFonts w:cs="Arial"/>
        </w:rPr>
        <w:t>slightly higher than the 4</w:t>
      </w:r>
      <w:r w:rsidR="00FA0AB0">
        <w:rPr>
          <w:rFonts w:cs="Arial"/>
        </w:rPr>
        <w:t>.15% received by Schuster et al</w:t>
      </w:r>
      <w:r>
        <w:rPr>
          <w:rFonts w:cs="Arial"/>
        </w:rPr>
        <w:t xml:space="preserve">. The </w:t>
      </w:r>
      <w:r w:rsidR="00FA0AB0">
        <w:rPr>
          <w:rFonts w:cs="Arial"/>
        </w:rPr>
        <w:t xml:space="preserve">small </w:t>
      </w:r>
      <w:r>
        <w:rPr>
          <w:rFonts w:cs="Arial"/>
        </w:rPr>
        <w:t>difference is assumed to be caused by different driving habits in the Baltimore area as compared to the urban rides in the general NHTS statistics.</w:t>
      </w:r>
      <w:r w:rsidR="00FA0AB0">
        <w:rPr>
          <w:rFonts w:cs="Arial"/>
        </w:rPr>
        <w:t xml:space="preserve"> </w:t>
      </w:r>
    </w:p>
    <w:p w:rsidR="00806C8E" w:rsidRDefault="00806C8E" w:rsidP="00A77898">
      <w:pPr>
        <w:rPr>
          <w:rFonts w:cs="Arial"/>
        </w:rPr>
      </w:pPr>
      <w:r>
        <w:rPr>
          <w:rFonts w:cs="Arial"/>
        </w:rPr>
        <w:t>Additional scenarios were calculated in order to test the robustness of the results.</w:t>
      </w:r>
    </w:p>
    <w:p w:rsidR="00806C8E" w:rsidRPr="00806C8E" w:rsidRDefault="00806C8E" w:rsidP="00E67DB8">
      <w:pPr>
        <w:pStyle w:val="Subtitle"/>
      </w:pPr>
      <w:r>
        <w:t>Scenario 3</w:t>
      </w:r>
      <w:r w:rsidRPr="00806C8E">
        <w:t xml:space="preserve">+4 </w:t>
      </w:r>
    </w:p>
    <w:p w:rsidR="00806C8E" w:rsidRDefault="00806C8E" w:rsidP="00FA0AB0">
      <w:pPr>
        <w:rPr>
          <w:rFonts w:cs="Arial"/>
        </w:rPr>
      </w:pPr>
      <w:r w:rsidRPr="00806C8E">
        <w:rPr>
          <w:rFonts w:cs="Arial"/>
        </w:rPr>
        <w:t>Some of the travel logs list vehicl</w:t>
      </w:r>
      <w:r>
        <w:rPr>
          <w:rFonts w:cs="Arial"/>
        </w:rPr>
        <w:t>es with very low daily mile</w:t>
      </w:r>
      <w:r w:rsidR="00FA0AB0">
        <w:rPr>
          <w:rFonts w:cs="Arial"/>
        </w:rPr>
        <w:t xml:space="preserve">age, probably as a result of </w:t>
      </w:r>
      <w:proofErr w:type="spellStart"/>
      <w:r w:rsidR="00FA0AB0">
        <w:rPr>
          <w:rFonts w:cs="Arial"/>
        </w:rPr>
        <w:t>ch</w:t>
      </w:r>
      <w:r>
        <w:rPr>
          <w:rFonts w:cs="Arial"/>
        </w:rPr>
        <w:t>osing</w:t>
      </w:r>
      <w:proofErr w:type="spellEnd"/>
      <w:r>
        <w:rPr>
          <w:rFonts w:cs="Arial"/>
        </w:rPr>
        <w:t xml:space="preserve"> a non-representative day. </w:t>
      </w:r>
      <w:r w:rsidR="00FA0AB0">
        <w:rPr>
          <w:rFonts w:cs="Arial"/>
        </w:rPr>
        <w:t>Scenarios 3</w:t>
      </w:r>
      <w:r w:rsidR="00FA0AB0" w:rsidRPr="00FA0AB0">
        <w:rPr>
          <w:rFonts w:cs="Arial"/>
        </w:rPr>
        <w:t>+</w:t>
      </w:r>
      <w:r w:rsidR="00FA0AB0">
        <w:rPr>
          <w:rFonts w:cs="Arial"/>
        </w:rPr>
        <w:t>4</w:t>
      </w:r>
      <w:r>
        <w:rPr>
          <w:rFonts w:cs="Arial"/>
        </w:rPr>
        <w:t xml:space="preserve"> were programmed to use a minimum daily mileage of 20 km </w:t>
      </w:r>
      <w:r>
        <w:rPr>
          <w:rFonts w:cs="Arial"/>
        </w:rPr>
        <w:lastRenderedPageBreak/>
        <w:t>for every value that was below. For the adjusted scenario, where one mile was trans</w:t>
      </w:r>
      <w:r w:rsidR="00F82F2D">
        <w:rPr>
          <w:rFonts w:cs="Arial"/>
        </w:rPr>
        <w:t>lated into 1.35 kilometers, this resulted in 17</w:t>
      </w:r>
      <w:r w:rsidR="00765C17">
        <w:rPr>
          <w:rFonts w:cs="Arial"/>
        </w:rPr>
        <w:t>,</w:t>
      </w:r>
      <w:r w:rsidR="00F82F2D">
        <w:rPr>
          <w:rFonts w:cs="Arial"/>
        </w:rPr>
        <w:t xml:space="preserve">889 km per year and a </w:t>
      </w:r>
      <w:r w:rsidR="00765C17">
        <w:rPr>
          <w:rFonts w:cs="Arial"/>
        </w:rPr>
        <w:t>car sharer rate of 21.82% (22.29</w:t>
      </w:r>
      <w:r w:rsidR="00F82F2D">
        <w:rPr>
          <w:rFonts w:cs="Arial"/>
        </w:rPr>
        <w:t>%). For the no</w:t>
      </w:r>
      <w:r w:rsidR="00FA0AB0">
        <w:rPr>
          <w:rFonts w:cs="Arial"/>
        </w:rPr>
        <w:t>n-adjusted scenario, the result</w:t>
      </w:r>
      <w:r w:rsidR="00F82F2D">
        <w:rPr>
          <w:rFonts w:cs="Arial"/>
        </w:rPr>
        <w:t xml:space="preserve"> </w:t>
      </w:r>
      <w:r w:rsidR="00FA0AB0">
        <w:rPr>
          <w:rFonts w:cs="Arial"/>
        </w:rPr>
        <w:t>was</w:t>
      </w:r>
      <w:r w:rsidR="00F82F2D">
        <w:rPr>
          <w:rFonts w:cs="Arial"/>
        </w:rPr>
        <w:t xml:space="preserve"> 20.91% </w:t>
      </w:r>
      <w:r w:rsidR="00BA1C75">
        <w:rPr>
          <w:rFonts w:cs="Arial"/>
        </w:rPr>
        <w:t>(21.48%). The differences in half a percent are relatively small and the base case can be regarded as robust</w:t>
      </w:r>
      <w:r w:rsidR="00FA0AB0">
        <w:rPr>
          <w:rFonts w:cs="Arial"/>
        </w:rPr>
        <w:t xml:space="preserve"> and not very sensitive to changes in mileage</w:t>
      </w:r>
      <w:r w:rsidR="00BA1C75">
        <w:rPr>
          <w:rFonts w:cs="Arial"/>
        </w:rPr>
        <w:t>.</w:t>
      </w:r>
    </w:p>
    <w:p w:rsidR="00BA1C75" w:rsidRDefault="00BA1C75" w:rsidP="00E67DB8">
      <w:pPr>
        <w:pStyle w:val="Subtitle"/>
      </w:pPr>
      <w:r>
        <w:t>Scenario 5</w:t>
      </w:r>
    </w:p>
    <w:p w:rsidR="00BA1C75" w:rsidRDefault="00EA7BAB" w:rsidP="00806C8E">
      <w:pPr>
        <w:rPr>
          <w:rFonts w:cs="Arial"/>
        </w:rPr>
      </w:pPr>
      <w:r>
        <w:rPr>
          <w:rFonts w:cs="Arial"/>
        </w:rPr>
        <w:t xml:space="preserve">One of the largest components of the ownership costs is depreciation, which is a direct derivative of the purchase price. The distribution of the purchase price was not based on statistical figures, except for its bottom limitation. Thus, </w:t>
      </w:r>
      <w:r w:rsidR="00253C54">
        <w:rPr>
          <w:rFonts w:cs="Arial"/>
        </w:rPr>
        <w:t xml:space="preserve">alternatives had to be calculated in order to find how relevant the base case assumptions were. </w:t>
      </w:r>
    </w:p>
    <w:p w:rsidR="00461528" w:rsidRPr="00806C8E" w:rsidRDefault="00461528" w:rsidP="00461528">
      <w:pPr>
        <w:rPr>
          <w:rFonts w:cs="Arial"/>
        </w:rPr>
      </w:pPr>
      <w:r>
        <w:rPr>
          <w:rFonts w:cs="Arial"/>
        </w:rPr>
        <w:t>Scenario 5 calculated the model assuming purchasing prices followed a triangular distribution with a minimum of NIS 87</w:t>
      </w:r>
      <w:r w:rsidR="00765C17">
        <w:rPr>
          <w:rFonts w:cs="Arial"/>
        </w:rPr>
        <w:t>,</w:t>
      </w:r>
      <w:r>
        <w:rPr>
          <w:rFonts w:cs="Arial"/>
        </w:rPr>
        <w:t>000, a peak of NIS 107</w:t>
      </w:r>
      <w:r w:rsidR="00765C17">
        <w:rPr>
          <w:rFonts w:cs="Arial"/>
        </w:rPr>
        <w:t>,</w:t>
      </w:r>
      <w:r>
        <w:rPr>
          <w:rFonts w:cs="Arial"/>
        </w:rPr>
        <w:t>000 and a maximum of NIS 250</w:t>
      </w:r>
      <w:r w:rsidR="00765C17">
        <w:rPr>
          <w:rFonts w:cs="Arial"/>
        </w:rPr>
        <w:t>,</w:t>
      </w:r>
      <w:r>
        <w:rPr>
          <w:rFonts w:cs="Arial"/>
        </w:rPr>
        <w:t>000.  The resulting mean purchase price was NIS 147</w:t>
      </w:r>
      <w:r w:rsidR="00765C17">
        <w:rPr>
          <w:rFonts w:cs="Arial"/>
        </w:rPr>
        <w:t>,</w:t>
      </w:r>
      <w:r>
        <w:rPr>
          <w:rFonts w:cs="Arial"/>
        </w:rPr>
        <w:t>822, as a result of which the sharing ratio climbed to 31%.</w:t>
      </w:r>
    </w:p>
    <w:p w:rsidR="00806C8E" w:rsidRDefault="009A3913" w:rsidP="00E67DB8">
      <w:pPr>
        <w:pStyle w:val="Subtitle"/>
      </w:pPr>
      <w:r>
        <w:t>Scenario 6</w:t>
      </w:r>
    </w:p>
    <w:p w:rsidR="00806C8E" w:rsidRDefault="00DC686C" w:rsidP="00FA0AB0">
      <w:pPr>
        <w:rPr>
          <w:rFonts w:cs="Arial"/>
        </w:rPr>
      </w:pPr>
      <w:r>
        <w:rPr>
          <w:rFonts w:cs="Arial"/>
        </w:rPr>
        <w:t>Cars do not only serve as means of transportation, but are often believed to provide the own</w:t>
      </w:r>
      <w:r w:rsidR="000F5F4B">
        <w:rPr>
          <w:rFonts w:cs="Arial"/>
        </w:rPr>
        <w:t xml:space="preserve">er with a certain social status. Car owners </w:t>
      </w:r>
      <w:r w:rsidR="00FA0AB0">
        <w:rPr>
          <w:rFonts w:cs="Arial"/>
        </w:rPr>
        <w:t>may</w:t>
      </w:r>
      <w:r w:rsidR="000F5F4B">
        <w:rPr>
          <w:rFonts w:cs="Arial"/>
        </w:rPr>
        <w:t xml:space="preserve"> be divided into two subgroups</w:t>
      </w:r>
      <w:r w:rsidR="000F5F4B">
        <w:rPr>
          <w:rFonts w:cs="Arial" w:hint="cs"/>
          <w:rtl/>
        </w:rPr>
        <w:t>:</w:t>
      </w:r>
      <w:r w:rsidR="000F5F4B" w:rsidRPr="00E51FE1">
        <w:rPr>
          <w:rFonts w:cs="Arial"/>
        </w:rPr>
        <w:t xml:space="preserve"> those who </w:t>
      </w:r>
      <w:r w:rsidR="00E51FE1" w:rsidRPr="00E51FE1">
        <w:rPr>
          <w:rFonts w:cs="Arial"/>
        </w:rPr>
        <w:t xml:space="preserve">purchase a car in order to have a comfortable means of transportation, and those who </w:t>
      </w:r>
      <w:r w:rsidR="00FA0AB0">
        <w:rPr>
          <w:rFonts w:cs="Arial"/>
        </w:rPr>
        <w:t>pay a premium for added social prestige or comfort</w:t>
      </w:r>
      <w:r w:rsidR="000D51FF">
        <w:rPr>
          <w:rStyle w:val="FootnoteReference"/>
          <w:rFonts w:cs="Arial"/>
        </w:rPr>
        <w:footnoteReference w:id="34"/>
      </w:r>
      <w:r w:rsidR="00E51FE1" w:rsidRPr="00E51FE1">
        <w:rPr>
          <w:rFonts w:cs="Arial"/>
        </w:rPr>
        <w:t xml:space="preserve">. </w:t>
      </w:r>
      <w:r w:rsidR="00E51FE1">
        <w:rPr>
          <w:rFonts w:cs="Arial"/>
        </w:rPr>
        <w:t xml:space="preserve">The second group in general tends to spend more on their cars, and also to be less price-sensitive. People who spend a fortune on a prestigious car are unlikely to </w:t>
      </w:r>
      <w:r w:rsidR="00EC59D8">
        <w:rPr>
          <w:rFonts w:cs="Arial"/>
        </w:rPr>
        <w:t xml:space="preserve">switch into </w:t>
      </w:r>
      <w:r w:rsidR="00443BD2">
        <w:rPr>
          <w:rFonts w:cs="Arial"/>
        </w:rPr>
        <w:t>carsharing</w:t>
      </w:r>
      <w:r w:rsidR="00EC59D8">
        <w:rPr>
          <w:rFonts w:cs="Arial"/>
        </w:rPr>
        <w:t>, even if it is financially beneficial. Scenario 6 thus attempted to model those two groups of car owners. Vehicles with a purchasing price of NIS 160000 (about the price of a Mazda 5 or a Renault Scenic</w:t>
      </w:r>
      <w:r w:rsidR="00EC59D8">
        <w:rPr>
          <w:rStyle w:val="FootnoteReference"/>
          <w:rFonts w:cs="Arial"/>
        </w:rPr>
        <w:footnoteReference w:id="35"/>
      </w:r>
      <w:r w:rsidR="00EC59D8">
        <w:rPr>
          <w:rFonts w:cs="Arial"/>
        </w:rPr>
        <w:t>) and above were directly marked as choosing ownership in disregard of potentially cheaper sharing alternatives.</w:t>
      </w:r>
      <w:r w:rsidR="00CA4E3C">
        <w:rPr>
          <w:rFonts w:cs="Arial"/>
        </w:rPr>
        <w:t xml:space="preserve"> As expected, the sharing ratio fell by about 3 percentage points to 18.87%.</w:t>
      </w:r>
    </w:p>
    <w:p w:rsidR="00011173" w:rsidRDefault="00011173" w:rsidP="00E67DB8">
      <w:pPr>
        <w:pStyle w:val="Subtitle"/>
      </w:pPr>
      <w:r>
        <w:t>Scenario 7</w:t>
      </w:r>
    </w:p>
    <w:p w:rsidR="00011173" w:rsidRDefault="00443BD2" w:rsidP="00FA0AB0">
      <w:pPr>
        <w:rPr>
          <w:rFonts w:cs="Arial"/>
        </w:rPr>
      </w:pPr>
      <w:r>
        <w:rPr>
          <w:rFonts w:cs="Arial"/>
        </w:rPr>
        <w:lastRenderedPageBreak/>
        <w:t>Carsharing</w:t>
      </w:r>
      <w:r w:rsidR="00E54791">
        <w:rPr>
          <w:rFonts w:cs="Arial"/>
        </w:rPr>
        <w:t xml:space="preserve"> is often cited as a promising alternative to second or even third cars in households.</w:t>
      </w:r>
      <w:r w:rsidR="00FA0AB0">
        <w:rPr>
          <w:rStyle w:val="FootnoteReference"/>
          <w:rFonts w:cs="Arial"/>
        </w:rPr>
        <w:footnoteReference w:id="36"/>
      </w:r>
      <w:r w:rsidR="00E54791">
        <w:rPr>
          <w:rFonts w:cs="Arial"/>
        </w:rPr>
        <w:t xml:space="preserve">  This assumption was tested by limiting the pool of travel journeys to </w:t>
      </w:r>
      <w:r w:rsidR="00286701">
        <w:rPr>
          <w:rFonts w:cs="Arial"/>
        </w:rPr>
        <w:t>2</w:t>
      </w:r>
      <w:r w:rsidR="00286701" w:rsidRPr="00286701">
        <w:rPr>
          <w:rFonts w:cs="Arial"/>
          <w:vertAlign w:val="superscript"/>
        </w:rPr>
        <w:t>nd</w:t>
      </w:r>
      <w:r w:rsidR="00286701">
        <w:rPr>
          <w:rFonts w:cs="Arial"/>
        </w:rPr>
        <w:t xml:space="preserve"> and 3</w:t>
      </w:r>
      <w:r w:rsidR="00286701" w:rsidRPr="00286701">
        <w:rPr>
          <w:rFonts w:cs="Arial"/>
          <w:vertAlign w:val="superscript"/>
        </w:rPr>
        <w:t>rd</w:t>
      </w:r>
      <w:r w:rsidR="00286701">
        <w:rPr>
          <w:rFonts w:cs="Arial"/>
        </w:rPr>
        <w:t xml:space="preserve"> cars in every </w:t>
      </w:r>
      <w:r w:rsidR="00286701" w:rsidRPr="004F2FBC">
        <w:rPr>
          <w:rFonts w:cs="Arial"/>
        </w:rPr>
        <w:t xml:space="preserve">household. </w:t>
      </w:r>
      <w:r w:rsidR="0074099D" w:rsidRPr="004F2FBC">
        <w:rPr>
          <w:rFonts w:cs="Arial"/>
        </w:rPr>
        <w:t xml:space="preserve">Contrary to the expectations, </w:t>
      </w:r>
      <w:r w:rsidR="005C6943" w:rsidRPr="004F2FBC">
        <w:rPr>
          <w:rFonts w:cs="Arial"/>
        </w:rPr>
        <w:t xml:space="preserve">the sharing ratio declined from 21.48% to 19.59%. Scenario 7b calculated the simulation using a carpool of all cars except vehicles tagged as primary, with similar results. </w:t>
      </w:r>
      <w:r w:rsidR="004F2FBC" w:rsidRPr="004F2FBC">
        <w:rPr>
          <w:rFonts w:cs="Arial"/>
        </w:rPr>
        <w:t>The sharing ratio dropped from 22.42% to 20.1%</w:t>
      </w:r>
      <w:r w:rsidR="004F2FBC" w:rsidRPr="004F2FBC">
        <w:rPr>
          <w:rStyle w:val="FootnoteReference"/>
          <w:rFonts w:cs="Arial"/>
        </w:rPr>
        <w:footnoteReference w:id="37"/>
      </w:r>
      <w:r w:rsidR="004F2FBC" w:rsidRPr="004F2FBC">
        <w:rPr>
          <w:rFonts w:cs="Arial"/>
        </w:rPr>
        <w:t>.</w:t>
      </w:r>
      <w:r w:rsidR="004F2FBC">
        <w:rPr>
          <w:rFonts w:cs="Arial"/>
        </w:rPr>
        <w:t xml:space="preserve">This provides support for the applicability of </w:t>
      </w:r>
      <w:r>
        <w:rPr>
          <w:rFonts w:cs="Arial"/>
        </w:rPr>
        <w:t>carsharing</w:t>
      </w:r>
      <w:r w:rsidR="004F2FBC">
        <w:rPr>
          <w:rFonts w:cs="Arial"/>
        </w:rPr>
        <w:t xml:space="preserve"> even for primary vehicles. It must be noted however that vehicles were not necessarily numbered according to intensity of use in the NHTS data. Furthermore, this scenario is particularly prone to distortion by the assumption that the trip journey reflects a daily habit and that every car is in use for 360 days a year. Secondary and tertiary cars are more likely to</w:t>
      </w:r>
      <w:r w:rsidR="00FA0AB0">
        <w:rPr>
          <w:rFonts w:cs="Arial"/>
        </w:rPr>
        <w:t xml:space="preserve"> remain unused on some days</w:t>
      </w:r>
      <w:r w:rsidR="004F2FBC">
        <w:rPr>
          <w:rFonts w:cs="Arial"/>
        </w:rPr>
        <w:t>.</w:t>
      </w:r>
    </w:p>
    <w:p w:rsidR="009416A2" w:rsidRDefault="007C43B4" w:rsidP="00E67DB8">
      <w:pPr>
        <w:pStyle w:val="Subtitle"/>
      </w:pPr>
      <w:r>
        <w:t>Scenario 8</w:t>
      </w:r>
    </w:p>
    <w:p w:rsidR="009416A2" w:rsidRDefault="009416A2" w:rsidP="00C9589E">
      <w:pPr>
        <w:rPr>
          <w:rFonts w:cs="Arial"/>
        </w:rPr>
      </w:pPr>
      <w:r>
        <w:rPr>
          <w:rFonts w:cs="Arial"/>
        </w:rPr>
        <w:t>In addition to prestige, a privately owned car also has some advantages of convenience. For example, the short process of reservation required for shared cars is not necessary. Also, it is possible to store p</w:t>
      </w:r>
      <w:r w:rsidR="00FA0AB0">
        <w:rPr>
          <w:rFonts w:cs="Arial"/>
        </w:rPr>
        <w:t>ersonal items inside the car</w:t>
      </w:r>
      <w:r>
        <w:rPr>
          <w:rFonts w:cs="Arial"/>
        </w:rPr>
        <w:t xml:space="preserve">. Putting a price tag on this convenience is difficult. </w:t>
      </w:r>
      <w:r w:rsidR="007C43B4">
        <w:rPr>
          <w:rFonts w:cs="Arial"/>
        </w:rPr>
        <w:t>Most importantly, the dramatic behavioral change usually meets a lot of skepticism. Only a considerable saving potential can provide an effective incentive. For scenario 8</w:t>
      </w:r>
      <w:r>
        <w:rPr>
          <w:rFonts w:cs="Arial"/>
        </w:rPr>
        <w:t xml:space="preserve">, it was assumed that a minimum saving from </w:t>
      </w:r>
      <w:r w:rsidR="00443BD2">
        <w:rPr>
          <w:rFonts w:cs="Arial"/>
        </w:rPr>
        <w:t>carsharing</w:t>
      </w:r>
      <w:r w:rsidR="007C43B4">
        <w:rPr>
          <w:rFonts w:cs="Arial"/>
        </w:rPr>
        <w:t xml:space="preserve"> of NIS 4000 must prevail in order to switch from ownership to </w:t>
      </w:r>
      <w:r w:rsidR="00443BD2">
        <w:rPr>
          <w:rFonts w:cs="Arial"/>
        </w:rPr>
        <w:t>carsharing</w:t>
      </w:r>
      <w:r w:rsidR="007C43B4">
        <w:rPr>
          <w:rFonts w:cs="Arial"/>
        </w:rPr>
        <w:t xml:space="preserve">. </w:t>
      </w:r>
      <w:r w:rsidR="00F042D2">
        <w:rPr>
          <w:rFonts w:cs="Arial"/>
        </w:rPr>
        <w:t>As expected, th</w:t>
      </w:r>
      <w:r w:rsidR="00C9589E">
        <w:rPr>
          <w:rFonts w:cs="Arial"/>
        </w:rPr>
        <w:t>e sharing ratio declined to 14.86</w:t>
      </w:r>
      <w:r w:rsidR="00F042D2">
        <w:rPr>
          <w:rFonts w:cs="Arial"/>
        </w:rPr>
        <w:t xml:space="preserve">%. This is a large drop of about 33%, which reflects the distribution of the difference between </w:t>
      </w:r>
      <w:r w:rsidR="00443BD2">
        <w:rPr>
          <w:rFonts w:cs="Arial"/>
        </w:rPr>
        <w:t>carsharing</w:t>
      </w:r>
      <w:r w:rsidR="00F042D2">
        <w:rPr>
          <w:rFonts w:cs="Arial"/>
        </w:rPr>
        <w:t xml:space="preserve"> and ownership costs.</w:t>
      </w:r>
      <w:r w:rsidR="00011173">
        <w:rPr>
          <w:rFonts w:cs="Arial"/>
        </w:rPr>
        <w:t xml:space="preserve"> </w:t>
      </w:r>
    </w:p>
    <w:p w:rsidR="00200263" w:rsidRPr="00E51FE1" w:rsidRDefault="00200263" w:rsidP="00C9589E">
      <w:pPr>
        <w:rPr>
          <w:rFonts w:cs="Arial"/>
        </w:rPr>
      </w:pPr>
      <w:r w:rsidRPr="00200263">
        <w:rPr>
          <w:rFonts w:cs="Arial"/>
          <w:noProof/>
          <w:lang w:eastAsia="en-US"/>
        </w:rPr>
        <w:lastRenderedPageBreak/>
        <w:drawing>
          <wp:inline distT="0" distB="0" distL="0" distR="0">
            <wp:extent cx="6272138" cy="3133618"/>
            <wp:effectExtent l="19050" t="0" r="14362"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06C8E" w:rsidRDefault="00EB190F" w:rsidP="00E67DB8">
      <w:pPr>
        <w:pStyle w:val="Subtitle"/>
      </w:pPr>
      <w:r>
        <w:t>Scenario 9</w:t>
      </w:r>
    </w:p>
    <w:p w:rsidR="00EB190F" w:rsidRDefault="00EB190F" w:rsidP="00FA0AB0">
      <w:pPr>
        <w:rPr>
          <w:rFonts w:cs="Arial"/>
        </w:rPr>
      </w:pPr>
      <w:r>
        <w:rPr>
          <w:rFonts w:cs="Arial"/>
        </w:rPr>
        <w:t>This scenario tested the models elasticity to changes in the price of fuel. The prices of Car2Go were stable since the opening of the business, whilst fuel prices change constantly. The base case and all previous scenarios assumed the fuel price of NIS 6.38/liter</w:t>
      </w:r>
      <w:r w:rsidR="00050626">
        <w:rPr>
          <w:rFonts w:cs="Arial"/>
        </w:rPr>
        <w:t xml:space="preserve"> (-21%)</w:t>
      </w:r>
      <w:r>
        <w:rPr>
          <w:rFonts w:cs="Arial"/>
        </w:rPr>
        <w:t xml:space="preserve">. Lower fuel prices could benefit car owners, while the scenario assumes that </w:t>
      </w:r>
      <w:r w:rsidR="00443BD2">
        <w:rPr>
          <w:rFonts w:cs="Arial"/>
        </w:rPr>
        <w:t>carsharing</w:t>
      </w:r>
      <w:r>
        <w:rPr>
          <w:rFonts w:cs="Arial"/>
        </w:rPr>
        <w:t xml:space="preserve"> prices will remain untouched. </w:t>
      </w:r>
      <w:r w:rsidR="00FF1458">
        <w:rPr>
          <w:rFonts w:cs="Arial"/>
        </w:rPr>
        <w:t xml:space="preserve">Scenario 9 thus calculated the base case under the assumption that gas prices would be as low as NIS 5. </w:t>
      </w:r>
      <w:r w:rsidR="00050626">
        <w:rPr>
          <w:rFonts w:cs="Arial"/>
        </w:rPr>
        <w:t>The scenario resulted in a sharing ratio of 19</w:t>
      </w:r>
      <w:r w:rsidR="00FF1458">
        <w:rPr>
          <w:rFonts w:cs="Arial"/>
        </w:rPr>
        <w:t>.67</w:t>
      </w:r>
      <w:r w:rsidR="00050626">
        <w:rPr>
          <w:rFonts w:cs="Arial"/>
        </w:rPr>
        <w:t>%, which constitutes a drop of 12% compared to the base case.</w:t>
      </w:r>
      <w:r w:rsidR="00050626">
        <w:rPr>
          <w:rStyle w:val="FootnoteReference"/>
          <w:rFonts w:cs="Arial"/>
        </w:rPr>
        <w:footnoteReference w:id="38"/>
      </w:r>
      <w:r w:rsidR="00050626">
        <w:rPr>
          <w:rFonts w:cs="Arial"/>
        </w:rPr>
        <w:t xml:space="preserve"> </w:t>
      </w:r>
      <w:r w:rsidR="00FA0AB0">
        <w:rPr>
          <w:rFonts w:cs="Arial"/>
        </w:rPr>
        <w:t>M</w:t>
      </w:r>
      <w:r w:rsidR="00FF1458">
        <w:rPr>
          <w:rFonts w:cs="Arial"/>
        </w:rPr>
        <w:t>ean gas costs stood at NIS 8406</w:t>
      </w:r>
      <w:r w:rsidR="00050626">
        <w:rPr>
          <w:rFonts w:cs="Arial"/>
        </w:rPr>
        <w:t>, which is NIS 10</w:t>
      </w:r>
      <w:r w:rsidR="00FF1458">
        <w:rPr>
          <w:rFonts w:cs="Arial"/>
        </w:rPr>
        <w:t>64</w:t>
      </w:r>
      <w:r w:rsidR="00050626">
        <w:rPr>
          <w:rFonts w:cs="Arial"/>
        </w:rPr>
        <w:t xml:space="preserve"> lower than the </w:t>
      </w:r>
      <w:proofErr w:type="spellStart"/>
      <w:r w:rsidR="00FA0AB0">
        <w:rPr>
          <w:rFonts w:cs="Arial"/>
        </w:rPr>
        <w:t>Heshev</w:t>
      </w:r>
      <w:proofErr w:type="spellEnd"/>
      <w:r w:rsidR="00050626">
        <w:rPr>
          <w:rFonts w:cs="Arial"/>
        </w:rPr>
        <w:t xml:space="preserve"> estimate</w:t>
      </w:r>
      <w:r w:rsidR="006232D6">
        <w:rPr>
          <w:rFonts w:cs="Arial"/>
        </w:rPr>
        <w:t>.</w:t>
      </w:r>
      <w:r w:rsidR="006232D6" w:rsidRPr="006232D6">
        <w:rPr>
          <w:rStyle w:val="FootnoteReference"/>
          <w:rFonts w:cs="Arial"/>
        </w:rPr>
        <w:t xml:space="preserve"> </w:t>
      </w:r>
      <w:r w:rsidR="006232D6">
        <w:rPr>
          <w:rStyle w:val="FootnoteReference"/>
          <w:rFonts w:cs="Arial"/>
        </w:rPr>
        <w:footnoteReference w:id="39"/>
      </w:r>
      <w:r w:rsidR="006232D6">
        <w:t xml:space="preserve"> </w:t>
      </w:r>
    </w:p>
    <w:p w:rsidR="00806C8E" w:rsidRPr="001454C7" w:rsidRDefault="00FF1458" w:rsidP="00FF1458">
      <w:pPr>
        <w:pStyle w:val="Subtitle"/>
      </w:pPr>
      <w:r>
        <w:t>Scenario 10</w:t>
      </w:r>
      <w:r w:rsidR="00A0299C" w:rsidRPr="001454C7">
        <w:t>+11</w:t>
      </w:r>
    </w:p>
    <w:p w:rsidR="00FF1458" w:rsidRDefault="00FF1458" w:rsidP="00806C8E">
      <w:pPr>
        <w:rPr>
          <w:rFonts w:cs="Arial"/>
        </w:rPr>
      </w:pPr>
      <w:r>
        <w:rPr>
          <w:rFonts w:cs="Arial"/>
        </w:rPr>
        <w:t>In the foreseeable future, Car2Go might raise the low hourly rates to levels more similar to the</w:t>
      </w:r>
      <w:r w:rsidR="00FA0AB0">
        <w:rPr>
          <w:rFonts w:cs="Arial"/>
        </w:rPr>
        <w:t>ir</w:t>
      </w:r>
      <w:r>
        <w:rPr>
          <w:rFonts w:cs="Arial"/>
        </w:rPr>
        <w:t xml:space="preserve"> international peers or even higher. Scenario 10 assumed that all hourly rates increase by 50%.</w:t>
      </w:r>
      <w:r w:rsidR="00A0299C">
        <w:rPr>
          <w:rFonts w:cs="Arial"/>
        </w:rPr>
        <w:t xml:space="preserve"> This raised the </w:t>
      </w:r>
      <w:r w:rsidR="00D44FBA">
        <w:rPr>
          <w:rFonts w:cs="Arial"/>
        </w:rPr>
        <w:t>mean yearly sharing costs by about NIS 12</w:t>
      </w:r>
      <w:r w:rsidR="00765C17">
        <w:rPr>
          <w:rFonts w:cs="Arial"/>
        </w:rPr>
        <w:t>,</w:t>
      </w:r>
      <w:r w:rsidR="00D44FBA">
        <w:rPr>
          <w:rFonts w:cs="Arial"/>
        </w:rPr>
        <w:t>000 and lowered the sharing ratio to 11.43%.</w:t>
      </w:r>
    </w:p>
    <w:p w:rsidR="00FF1458" w:rsidRDefault="00D44FBA" w:rsidP="00D44FBA">
      <w:pPr>
        <w:rPr>
          <w:rFonts w:cs="Arial"/>
        </w:rPr>
      </w:pPr>
      <w:r>
        <w:rPr>
          <w:rFonts w:cs="Arial"/>
        </w:rPr>
        <w:t xml:space="preserve">Scenario 11 added also </w:t>
      </w:r>
      <w:r w:rsidR="00FF1458">
        <w:rPr>
          <w:rFonts w:cs="Arial"/>
        </w:rPr>
        <w:t>a minimum saving of NIS 4000 similar as in scenario 8.</w:t>
      </w:r>
      <w:r>
        <w:rPr>
          <w:rFonts w:cs="Arial"/>
        </w:rPr>
        <w:t xml:space="preserve"> The sharing ratio </w:t>
      </w:r>
      <w:r>
        <w:rPr>
          <w:rFonts w:cs="Arial"/>
        </w:rPr>
        <w:lastRenderedPageBreak/>
        <w:t>declined rapidly to 7.43%.</w:t>
      </w:r>
    </w:p>
    <w:p w:rsidR="0047097B" w:rsidRDefault="0047097B" w:rsidP="00806C8E">
      <w:pPr>
        <w:rPr>
          <w:rFonts w:cs="Arial"/>
        </w:rPr>
      </w:pPr>
    </w:p>
    <w:p w:rsidR="00725180" w:rsidRDefault="00725180" w:rsidP="00E67DB8">
      <w:pPr>
        <w:pStyle w:val="Subtitle"/>
      </w:pPr>
      <w:r>
        <w:t>Discussion of the results</w:t>
      </w:r>
    </w:p>
    <w:p w:rsidR="00725180" w:rsidRDefault="00725180" w:rsidP="00725180">
      <w:pPr>
        <w:rPr>
          <w:rFonts w:cs="Arial"/>
        </w:rPr>
      </w:pPr>
      <w:r>
        <w:rPr>
          <w:rFonts w:cs="Arial"/>
        </w:rPr>
        <w:t>Even for the most cautious scenario</w:t>
      </w:r>
      <w:r w:rsidR="006232D6">
        <w:rPr>
          <w:rFonts w:cs="Arial"/>
        </w:rPr>
        <w:t xml:space="preserve"> that uses current Car2Go pricing</w:t>
      </w:r>
      <w:r>
        <w:rPr>
          <w:rFonts w:cs="Arial"/>
        </w:rPr>
        <w:t xml:space="preserve">, the sharing ratio did not fall below 14%. These numbers are extremely high and would have far-reaching implications. The different scenarios </w:t>
      </w:r>
      <w:r w:rsidR="00C440E3">
        <w:rPr>
          <w:rFonts w:cs="Arial"/>
        </w:rPr>
        <w:t xml:space="preserve">that assumed current conditions and no value on convenience </w:t>
      </w:r>
      <w:r>
        <w:rPr>
          <w:rFonts w:cs="Arial"/>
        </w:rPr>
        <w:t>proved relatively robust at a level of about 20%.</w:t>
      </w:r>
    </w:p>
    <w:p w:rsidR="00D626F5" w:rsidRDefault="009E236A" w:rsidP="00D44FBA">
      <w:pPr>
        <w:rPr>
          <w:rFonts w:cs="Arial"/>
        </w:rPr>
      </w:pPr>
      <w:r>
        <w:rPr>
          <w:rFonts w:cs="Arial"/>
        </w:rPr>
        <w:t xml:space="preserve">Schuster et al. calculated that more than 70% of the variance is explained by travel time, </w:t>
      </w:r>
      <w:r w:rsidR="00F94386">
        <w:rPr>
          <w:rFonts w:cs="Arial"/>
        </w:rPr>
        <w:t>16% by mileage and about 10% by car age</w:t>
      </w:r>
      <w:r w:rsidR="0047097B">
        <w:rPr>
          <w:rStyle w:val="FootnoteReference"/>
          <w:rFonts w:cs="Arial"/>
        </w:rPr>
        <w:footnoteReference w:id="40"/>
      </w:r>
      <w:r w:rsidR="00F94386">
        <w:rPr>
          <w:rFonts w:cs="Arial"/>
        </w:rPr>
        <w:t xml:space="preserve">. All of these inputs were based on statistics rather than assumptions, even though the first two represented American data rather than Israeli statistics. </w:t>
      </w:r>
      <w:r w:rsidR="00FA57E5">
        <w:rPr>
          <w:rFonts w:cs="Arial"/>
        </w:rPr>
        <w:t>The high relevance of travel time is probably the key to understand the high results. Due to the assumption that vehicles were used on a daily base, the Value</w:t>
      </w:r>
      <w:r w:rsidR="00FA57E5" w:rsidRPr="00FA57E5">
        <w:rPr>
          <w:rFonts w:cs="Arial"/>
        </w:rPr>
        <w:t xml:space="preserve">+ price plan turned out the cheapest for all cars. </w:t>
      </w:r>
      <w:r w:rsidR="006232D6">
        <w:rPr>
          <w:rFonts w:cs="Arial"/>
        </w:rPr>
        <w:t>The</w:t>
      </w:r>
      <w:r w:rsidR="00FA57E5">
        <w:rPr>
          <w:rFonts w:cs="Arial"/>
        </w:rPr>
        <w:t xml:space="preserve"> hourly rate of Car2Go in this price plan is one of the cheapest worldwide, and stands at 26% of the reference case used by Schuster et al. In combination with the significantly higher ownership costs in Israel, the high sharing ratios can be explained. In fact, a shift towards higher hourly rates and lower kilometer fees can be expect</w:t>
      </w:r>
      <w:r w:rsidR="00A312A3">
        <w:rPr>
          <w:rFonts w:cs="Arial"/>
        </w:rPr>
        <w:t>ed in the Car2Go pricing eventually</w:t>
      </w:r>
      <w:r w:rsidR="006232D6">
        <w:rPr>
          <w:rFonts w:cs="Arial"/>
        </w:rPr>
        <w:t>, as was partly incorporated in scenario</w:t>
      </w:r>
      <w:r w:rsidR="00D44FBA">
        <w:rPr>
          <w:rFonts w:cs="Arial"/>
        </w:rPr>
        <w:t>s</w:t>
      </w:r>
      <w:r w:rsidR="006232D6">
        <w:rPr>
          <w:rFonts w:cs="Arial"/>
        </w:rPr>
        <w:t xml:space="preserve"> </w:t>
      </w:r>
      <w:r w:rsidR="00D44FBA">
        <w:rPr>
          <w:rFonts w:cs="Arial"/>
        </w:rPr>
        <w:t>10 and 11</w:t>
      </w:r>
      <w:r w:rsidR="00A312A3">
        <w:rPr>
          <w:rFonts w:cs="Arial"/>
        </w:rPr>
        <w:t>.</w:t>
      </w:r>
      <w:r w:rsidR="00A312A3">
        <w:rPr>
          <w:rStyle w:val="FootnoteReference"/>
          <w:rFonts w:cs="Arial"/>
        </w:rPr>
        <w:footnoteReference w:id="41"/>
      </w:r>
      <w:r w:rsidR="00FA57E5">
        <w:rPr>
          <w:rFonts w:cs="Arial"/>
        </w:rPr>
        <w:t xml:space="preserve"> </w:t>
      </w:r>
    </w:p>
    <w:p w:rsidR="00DF239F" w:rsidRDefault="00DF239F" w:rsidP="00960321">
      <w:pPr>
        <w:rPr>
          <w:rFonts w:cs="Arial"/>
        </w:rPr>
      </w:pPr>
      <w:r>
        <w:rPr>
          <w:rFonts w:cs="Arial"/>
        </w:rPr>
        <w:t xml:space="preserve">The theoretical number of vehicles on the roads and parking spaces of Gush Dan that could be reduced when using a low replacement ratio of 1:5 ranged from </w:t>
      </w:r>
      <w:r w:rsidR="00960321">
        <w:rPr>
          <w:rFonts w:cs="Arial"/>
        </w:rPr>
        <w:t>49</w:t>
      </w:r>
      <w:r>
        <w:rPr>
          <w:rFonts w:cs="Arial"/>
        </w:rPr>
        <w:t>,000 to 149,000</w:t>
      </w:r>
      <w:r w:rsidR="00A85D7E">
        <w:rPr>
          <w:rStyle w:val="FootnoteReference"/>
          <w:rFonts w:cs="Arial"/>
        </w:rPr>
        <w:footnoteReference w:id="42"/>
      </w:r>
      <w:r>
        <w:rPr>
          <w:rFonts w:cs="Arial"/>
        </w:rPr>
        <w:t xml:space="preserve">. </w:t>
      </w:r>
    </w:p>
    <w:p w:rsidR="008B2986" w:rsidRDefault="008B2986" w:rsidP="00FA40CD">
      <w:pPr>
        <w:rPr>
          <w:rFonts w:cs="Arial"/>
        </w:rPr>
      </w:pPr>
      <w:r>
        <w:rPr>
          <w:rFonts w:cs="Arial"/>
        </w:rPr>
        <w:t xml:space="preserve">While the numbers are large and might also be reduced by future price hikes of Car2Go, it must be noted that a number of variables and assumptions were cautious. For instance, parking costs (at the home base) were not included in the ownership costs. </w:t>
      </w:r>
      <w:r w:rsidR="00FA40CD">
        <w:rPr>
          <w:rFonts w:cs="Arial"/>
        </w:rPr>
        <w:t xml:space="preserve">Many cars are probably also used less than 364 days a year, which would further benefit sharing costs compared to ownership costs. </w:t>
      </w:r>
    </w:p>
    <w:p w:rsidR="00A312A3" w:rsidRDefault="00A312A3" w:rsidP="00E67DB8">
      <w:pPr>
        <w:pStyle w:val="Subtitle"/>
      </w:pPr>
      <w:r>
        <w:t>Weaknesses of the Methodology</w:t>
      </w:r>
    </w:p>
    <w:p w:rsidR="00A312A3" w:rsidRDefault="00A312A3" w:rsidP="00A312A3">
      <w:pPr>
        <w:rPr>
          <w:rFonts w:cs="Arial"/>
        </w:rPr>
      </w:pPr>
      <w:r>
        <w:rPr>
          <w:rFonts w:cs="Arial"/>
        </w:rPr>
        <w:lastRenderedPageBreak/>
        <w:t xml:space="preserve">The advantage of the methodology chosen for this study is that it clearly marks the financial benefits of </w:t>
      </w:r>
      <w:r w:rsidR="00443BD2">
        <w:rPr>
          <w:rFonts w:cs="Arial"/>
        </w:rPr>
        <w:t>carsharing</w:t>
      </w:r>
      <w:r>
        <w:rPr>
          <w:rFonts w:cs="Arial"/>
        </w:rPr>
        <w:t xml:space="preserve"> for considerable parts of drivers. However, it also comes with a number of considerable weaknesses. Its macro view ignores neighborhood considerations. Even in area</w:t>
      </w:r>
      <w:r w:rsidR="008B2986">
        <w:rPr>
          <w:rFonts w:cs="Arial"/>
        </w:rPr>
        <w:t>s</w:t>
      </w:r>
      <w:r>
        <w:rPr>
          <w:rFonts w:cs="Arial"/>
        </w:rPr>
        <w:t xml:space="preserve"> considered urban, population density may sink to levels where shared cars would be too scarce and parked in too large distances in order to be equally convenient and thus a viable option.</w:t>
      </w:r>
      <w:r w:rsidR="008B2986">
        <w:rPr>
          <w:rFonts w:cs="Arial"/>
        </w:rPr>
        <w:t xml:space="preserve"> </w:t>
      </w:r>
    </w:p>
    <w:p w:rsidR="00A312A3" w:rsidRDefault="00C440E3" w:rsidP="00C440E3">
      <w:pPr>
        <w:rPr>
          <w:rFonts w:cs="Arial"/>
        </w:rPr>
      </w:pPr>
      <w:r>
        <w:rPr>
          <w:rFonts w:cs="Arial"/>
        </w:rPr>
        <w:t>In addition, t</w:t>
      </w:r>
      <w:r w:rsidR="008B2986">
        <w:rPr>
          <w:rFonts w:cs="Arial"/>
        </w:rPr>
        <w:t xml:space="preserve">he resulting large scale </w:t>
      </w:r>
      <w:r w:rsidR="00443BD2">
        <w:rPr>
          <w:rFonts w:cs="Arial"/>
        </w:rPr>
        <w:t>carsharing</w:t>
      </w:r>
      <w:r w:rsidR="008B2986">
        <w:rPr>
          <w:rFonts w:cs="Arial"/>
        </w:rPr>
        <w:t xml:space="preserve"> scheme would be unprecedented and possibly not viable to run. Since the study assumes daily car use of shared cars, vehicle demand at peak hours would probably require a low member/car ratio, which would again drive up prices. In addition, the methodology does not take into account the most desired outcomes of </w:t>
      </w:r>
      <w:r w:rsidR="00443BD2">
        <w:rPr>
          <w:rFonts w:cs="Arial"/>
        </w:rPr>
        <w:t>carsharing</w:t>
      </w:r>
      <w:r w:rsidR="008B2986">
        <w:rPr>
          <w:rFonts w:cs="Arial"/>
        </w:rPr>
        <w:t xml:space="preserve">, namely the reduction of VMT. </w:t>
      </w:r>
    </w:p>
    <w:p w:rsidR="00A0299C" w:rsidRDefault="00A0299C">
      <w:pPr>
        <w:widowControl/>
        <w:suppressAutoHyphens w:val="0"/>
        <w:spacing w:line="240" w:lineRule="auto"/>
        <w:jc w:val="left"/>
        <w:rPr>
          <w:rFonts w:asciiTheme="majorHAnsi" w:eastAsiaTheme="majorEastAsia" w:hAnsiTheme="majorHAnsi" w:cstheme="majorBidi"/>
          <w:b/>
          <w:bCs/>
          <w:color w:val="365F91" w:themeColor="accent1" w:themeShade="BF"/>
          <w:sz w:val="28"/>
          <w:szCs w:val="28"/>
        </w:rPr>
      </w:pPr>
      <w:r>
        <w:br w:type="page"/>
      </w:r>
    </w:p>
    <w:p w:rsidR="00D626F5" w:rsidRDefault="00351664" w:rsidP="00EE1E0B">
      <w:pPr>
        <w:pStyle w:val="Heading1"/>
        <w:rPr>
          <w:rFonts w:cs="Arial"/>
        </w:rPr>
      </w:pPr>
      <w:bookmarkStart w:id="12" w:name="_Toc263943205"/>
      <w:r w:rsidRPr="00EE1E0B">
        <w:lastRenderedPageBreak/>
        <w:t>Conclusion</w:t>
      </w:r>
      <w:bookmarkEnd w:id="12"/>
    </w:p>
    <w:p w:rsidR="00351664" w:rsidRDefault="00351664" w:rsidP="00C440E3">
      <w:r>
        <w:t xml:space="preserve">This study hints at the immense saving potential that lies in </w:t>
      </w:r>
      <w:r w:rsidR="00443BD2">
        <w:t>carsharing</w:t>
      </w:r>
      <w:r>
        <w:t xml:space="preserve">. </w:t>
      </w:r>
      <w:r w:rsidR="006B4B15">
        <w:t>It</w:t>
      </w:r>
      <w:r>
        <w:t xml:space="preserve"> highlighted the large potential for </w:t>
      </w:r>
      <w:r w:rsidR="00443BD2">
        <w:t>carsharing</w:t>
      </w:r>
      <w:r>
        <w:t xml:space="preserve"> in Israel resulting from the comparatively high fixed costs of car ownership in Israel. The study's macro-approach will probably meet many more </w:t>
      </w:r>
      <w:r w:rsidR="00443BD2">
        <w:t xml:space="preserve">restrictions when </w:t>
      </w:r>
      <w:r w:rsidR="00C440E3">
        <w:t>compared to</w:t>
      </w:r>
      <w:r w:rsidR="00443BD2">
        <w:t xml:space="preserve"> more micro-level studies, where whole neighborhoods can be found to be unviable for commercial carsharing.</w:t>
      </w:r>
      <w:r w:rsidR="002A24A0">
        <w:t xml:space="preserve"> Additional factors like convenience and peak demand may also pose significant challenges for a large scale carsharing network, especially when it is not backed up by excellent public transportation. But the large financial incentives for a considerable group of drivers at the curr</w:t>
      </w:r>
      <w:r w:rsidR="00483EA1">
        <w:t>ent pricing levels may serve as a good st</w:t>
      </w:r>
      <w:r w:rsidR="006B4B15">
        <w:t xml:space="preserve">arting point. As a result of the economic approach of this study, it could be shown that carsharing does not rely on environmentally aware populations, but may actually be a rationally justified decision. </w:t>
      </w:r>
      <w:r w:rsidR="005B066E">
        <w:t xml:space="preserve">The results of this study show that carsharing in Israel has a large cost advantage, which can justify switches from car ownership and then trigger reduction of VMT, intermodal habit shifts and </w:t>
      </w:r>
      <w:r w:rsidR="00C440E3">
        <w:t>a reduction of demand for</w:t>
      </w:r>
      <w:r w:rsidR="005B066E">
        <w:t xml:space="preserve"> parking space</w:t>
      </w:r>
      <w:r w:rsidR="000A411F">
        <w:t>. Policy makers can provide important support in the initial phases of carsharing services.</w:t>
      </w:r>
      <w:r w:rsidR="000A411F">
        <w:rPr>
          <w:rStyle w:val="FootnoteReference"/>
        </w:rPr>
        <w:footnoteReference w:id="43"/>
      </w:r>
      <w:r w:rsidR="000A411F">
        <w:t xml:space="preserve"> </w:t>
      </w:r>
      <w:r w:rsidR="005B066E">
        <w:t xml:space="preserve"> </w:t>
      </w:r>
    </w:p>
    <w:p w:rsidR="008B735B" w:rsidRPr="00351664" w:rsidRDefault="008B735B" w:rsidP="008B735B"/>
    <w:p w:rsidR="00D41F68" w:rsidRDefault="00D41F68">
      <w:pPr>
        <w:widowControl/>
        <w:suppressAutoHyphens w:val="0"/>
        <w:spacing w:line="240" w:lineRule="auto"/>
        <w:jc w:val="left"/>
        <w:rPr>
          <w:rFonts w:cs="Arial"/>
        </w:rPr>
        <w:sectPr w:rsidR="00D41F68" w:rsidSect="00390461">
          <w:footerReference w:type="default" r:id="rId30"/>
          <w:pgSz w:w="11907" w:h="16839" w:code="9"/>
          <w:pgMar w:top="1134" w:right="1134" w:bottom="1134" w:left="1134" w:header="720" w:footer="720" w:gutter="0"/>
          <w:cols w:space="720"/>
          <w:docGrid w:linePitch="326"/>
        </w:sectPr>
      </w:pPr>
    </w:p>
    <w:p w:rsidR="00095F5A" w:rsidRDefault="00095F5A" w:rsidP="00202515">
      <w:pPr>
        <w:pStyle w:val="Heading1"/>
      </w:pPr>
      <w:bookmarkStart w:id="13" w:name="_Toc263943206"/>
      <w:r>
        <w:lastRenderedPageBreak/>
        <w:t xml:space="preserve">Appendix </w:t>
      </w:r>
      <w:proofErr w:type="gramStart"/>
      <w:r>
        <w:t>1</w:t>
      </w:r>
      <w:r w:rsidR="00202515">
        <w:t xml:space="preserve"> :</w:t>
      </w:r>
      <w:proofErr w:type="gramEnd"/>
      <w:r w:rsidR="00202515">
        <w:t xml:space="preserve"> </w:t>
      </w:r>
      <w:r>
        <w:t>Scenario Overview</w:t>
      </w:r>
      <w:bookmarkEnd w:id="13"/>
    </w:p>
    <w:p w:rsidR="00D41F68" w:rsidRDefault="00D41F68">
      <w:pPr>
        <w:widowControl/>
        <w:suppressAutoHyphens w:val="0"/>
        <w:spacing w:line="240" w:lineRule="auto"/>
        <w:jc w:val="left"/>
      </w:pPr>
    </w:p>
    <w:tbl>
      <w:tblPr>
        <w:tblStyle w:val="LightShading-Accent11"/>
        <w:tblW w:w="0" w:type="auto"/>
        <w:tblLayout w:type="fixed"/>
        <w:tblLook w:val="04A0" w:firstRow="1" w:lastRow="0" w:firstColumn="1" w:lastColumn="0" w:noHBand="0" w:noVBand="1"/>
      </w:tblPr>
      <w:tblGrid>
        <w:gridCol w:w="2518"/>
        <w:gridCol w:w="1704"/>
        <w:gridCol w:w="802"/>
        <w:gridCol w:w="802"/>
        <w:gridCol w:w="802"/>
        <w:gridCol w:w="802"/>
        <w:gridCol w:w="802"/>
        <w:gridCol w:w="802"/>
        <w:gridCol w:w="802"/>
        <w:gridCol w:w="802"/>
        <w:gridCol w:w="802"/>
        <w:gridCol w:w="802"/>
        <w:gridCol w:w="707"/>
        <w:gridCol w:w="707"/>
      </w:tblGrid>
      <w:tr w:rsidR="00202515" w:rsidRPr="00D41F68" w:rsidTr="00202515">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18" w:type="dxa"/>
            <w:hideMark/>
          </w:tcPr>
          <w:p w:rsidR="00D41F68" w:rsidRPr="00D41F68" w:rsidRDefault="00D41F68" w:rsidP="00D41F68">
            <w:pPr>
              <w:widowControl/>
              <w:suppressAutoHyphens w:val="0"/>
              <w:spacing w:line="240" w:lineRule="auto"/>
              <w:jc w:val="left"/>
              <w:rPr>
                <w:rFonts w:eastAsia="Times New Roman" w:cs="Times New Roman"/>
                <w:kern w:val="0"/>
                <w:lang w:eastAsia="en-US"/>
              </w:rPr>
            </w:pPr>
            <w:r w:rsidRPr="00D41F68">
              <w:rPr>
                <w:rFonts w:eastAsia="Times New Roman" w:cs="Times New Roman"/>
                <w:kern w:val="0"/>
                <w:lang w:eastAsia="en-US"/>
              </w:rPr>
              <w:t>Scenario</w:t>
            </w:r>
          </w:p>
        </w:tc>
        <w:tc>
          <w:tcPr>
            <w:tcW w:w="1704" w:type="dxa"/>
            <w:vAlign w:val="bottom"/>
            <w:hideMark/>
          </w:tcPr>
          <w:p w:rsidR="00D41F68" w:rsidRPr="00D41F68" w:rsidRDefault="00D41F68" w:rsidP="00202515">
            <w:pPr>
              <w:widowControl/>
              <w:suppressAutoHyphens w:val="0"/>
              <w:spacing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Times New Roman"/>
                <w:kern w:val="0"/>
                <w:sz w:val="22"/>
                <w:szCs w:val="22"/>
                <w:lang w:eastAsia="en-US"/>
              </w:rPr>
            </w:pPr>
            <w:r w:rsidRPr="00D41F68">
              <w:rPr>
                <w:rFonts w:eastAsia="Times New Roman" w:cs="Times New Roman"/>
                <w:kern w:val="0"/>
                <w:sz w:val="22"/>
                <w:szCs w:val="22"/>
                <w:lang w:eastAsia="en-US"/>
              </w:rPr>
              <w:t>1</w:t>
            </w:r>
          </w:p>
        </w:tc>
        <w:tc>
          <w:tcPr>
            <w:tcW w:w="802" w:type="dxa"/>
            <w:vAlign w:val="bottom"/>
            <w:hideMark/>
          </w:tcPr>
          <w:p w:rsidR="00D41F68" w:rsidRPr="00D41F68" w:rsidRDefault="00D41F68" w:rsidP="00202515">
            <w:pPr>
              <w:widowControl/>
              <w:suppressAutoHyphens w:val="0"/>
              <w:spacing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Times New Roman"/>
                <w:kern w:val="0"/>
                <w:sz w:val="22"/>
                <w:szCs w:val="22"/>
                <w:lang w:eastAsia="en-US"/>
              </w:rPr>
            </w:pPr>
            <w:r w:rsidRPr="00D41F68">
              <w:rPr>
                <w:rFonts w:eastAsia="Times New Roman" w:cs="Times New Roman"/>
                <w:kern w:val="0"/>
                <w:sz w:val="22"/>
                <w:szCs w:val="22"/>
                <w:lang w:eastAsia="en-US"/>
              </w:rPr>
              <w:t>2</w:t>
            </w:r>
          </w:p>
        </w:tc>
        <w:tc>
          <w:tcPr>
            <w:tcW w:w="802" w:type="dxa"/>
            <w:vAlign w:val="bottom"/>
            <w:hideMark/>
          </w:tcPr>
          <w:p w:rsidR="00D41F68" w:rsidRPr="00D41F68" w:rsidRDefault="00D41F68" w:rsidP="00202515">
            <w:pPr>
              <w:widowControl/>
              <w:suppressAutoHyphens w:val="0"/>
              <w:spacing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Times New Roman"/>
                <w:kern w:val="0"/>
                <w:sz w:val="22"/>
                <w:szCs w:val="22"/>
                <w:lang w:eastAsia="en-US"/>
              </w:rPr>
            </w:pPr>
            <w:r w:rsidRPr="00D41F68">
              <w:rPr>
                <w:rFonts w:eastAsia="Times New Roman" w:cs="Times New Roman"/>
                <w:kern w:val="0"/>
                <w:sz w:val="22"/>
                <w:szCs w:val="22"/>
                <w:lang w:eastAsia="en-US"/>
              </w:rPr>
              <w:t>3</w:t>
            </w:r>
          </w:p>
        </w:tc>
        <w:tc>
          <w:tcPr>
            <w:tcW w:w="802" w:type="dxa"/>
            <w:vAlign w:val="bottom"/>
            <w:hideMark/>
          </w:tcPr>
          <w:p w:rsidR="00D41F68" w:rsidRPr="00D41F68" w:rsidRDefault="00D41F68" w:rsidP="00202515">
            <w:pPr>
              <w:widowControl/>
              <w:suppressAutoHyphens w:val="0"/>
              <w:spacing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Times New Roman"/>
                <w:kern w:val="0"/>
                <w:sz w:val="22"/>
                <w:szCs w:val="22"/>
                <w:lang w:eastAsia="en-US"/>
              </w:rPr>
            </w:pPr>
            <w:r w:rsidRPr="00D41F68">
              <w:rPr>
                <w:rFonts w:eastAsia="Times New Roman" w:cs="Times New Roman"/>
                <w:kern w:val="0"/>
                <w:sz w:val="22"/>
                <w:szCs w:val="22"/>
                <w:lang w:eastAsia="en-US"/>
              </w:rPr>
              <w:t>4</w:t>
            </w:r>
          </w:p>
        </w:tc>
        <w:tc>
          <w:tcPr>
            <w:tcW w:w="802" w:type="dxa"/>
            <w:vAlign w:val="bottom"/>
            <w:hideMark/>
          </w:tcPr>
          <w:p w:rsidR="00D41F68" w:rsidRPr="00D41F68" w:rsidRDefault="00D41F68" w:rsidP="00202515">
            <w:pPr>
              <w:widowControl/>
              <w:suppressAutoHyphens w:val="0"/>
              <w:spacing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Times New Roman"/>
                <w:kern w:val="0"/>
                <w:sz w:val="22"/>
                <w:szCs w:val="22"/>
                <w:lang w:eastAsia="en-US"/>
              </w:rPr>
            </w:pPr>
            <w:r w:rsidRPr="00D41F68">
              <w:rPr>
                <w:rFonts w:eastAsia="Times New Roman" w:cs="Times New Roman"/>
                <w:kern w:val="0"/>
                <w:sz w:val="22"/>
                <w:szCs w:val="22"/>
                <w:lang w:eastAsia="en-US"/>
              </w:rPr>
              <w:t>5</w:t>
            </w:r>
          </w:p>
        </w:tc>
        <w:tc>
          <w:tcPr>
            <w:tcW w:w="802" w:type="dxa"/>
            <w:vAlign w:val="bottom"/>
            <w:hideMark/>
          </w:tcPr>
          <w:p w:rsidR="00D41F68" w:rsidRPr="00D41F68" w:rsidRDefault="00D41F68" w:rsidP="00202515">
            <w:pPr>
              <w:widowControl/>
              <w:suppressAutoHyphens w:val="0"/>
              <w:spacing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Times New Roman"/>
                <w:kern w:val="0"/>
                <w:sz w:val="22"/>
                <w:szCs w:val="22"/>
                <w:lang w:eastAsia="en-US"/>
              </w:rPr>
            </w:pPr>
            <w:r w:rsidRPr="00D41F68">
              <w:rPr>
                <w:rFonts w:eastAsia="Times New Roman" w:cs="Times New Roman"/>
                <w:kern w:val="0"/>
                <w:sz w:val="22"/>
                <w:szCs w:val="22"/>
                <w:lang w:eastAsia="en-US"/>
              </w:rPr>
              <w:t>6</w:t>
            </w:r>
          </w:p>
        </w:tc>
        <w:tc>
          <w:tcPr>
            <w:tcW w:w="802" w:type="dxa"/>
            <w:vAlign w:val="bottom"/>
            <w:hideMark/>
          </w:tcPr>
          <w:p w:rsidR="00D41F68" w:rsidRPr="00D41F68" w:rsidRDefault="00D41F68" w:rsidP="00202515">
            <w:pPr>
              <w:widowControl/>
              <w:suppressAutoHyphens w:val="0"/>
              <w:spacing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Times New Roman"/>
                <w:kern w:val="0"/>
                <w:sz w:val="22"/>
                <w:szCs w:val="22"/>
                <w:lang w:eastAsia="en-US"/>
              </w:rPr>
            </w:pPr>
            <w:r w:rsidRPr="00D41F68">
              <w:rPr>
                <w:rFonts w:eastAsia="Times New Roman" w:cs="Times New Roman"/>
                <w:kern w:val="0"/>
                <w:sz w:val="22"/>
                <w:szCs w:val="22"/>
                <w:lang w:eastAsia="en-US"/>
              </w:rPr>
              <w:t>7</w:t>
            </w:r>
          </w:p>
        </w:tc>
        <w:tc>
          <w:tcPr>
            <w:tcW w:w="802" w:type="dxa"/>
            <w:vAlign w:val="bottom"/>
            <w:hideMark/>
          </w:tcPr>
          <w:p w:rsidR="00D41F68" w:rsidRPr="00D41F68" w:rsidRDefault="00D41F68" w:rsidP="00202515">
            <w:pPr>
              <w:widowControl/>
              <w:suppressAutoHyphens w:val="0"/>
              <w:spacing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Times New Roman"/>
                <w:kern w:val="0"/>
                <w:sz w:val="22"/>
                <w:szCs w:val="22"/>
                <w:lang w:eastAsia="en-US"/>
              </w:rPr>
            </w:pPr>
            <w:r w:rsidRPr="00D41F68">
              <w:rPr>
                <w:rFonts w:eastAsia="Times New Roman" w:cs="Times New Roman"/>
                <w:kern w:val="0"/>
                <w:sz w:val="22"/>
                <w:szCs w:val="22"/>
                <w:lang w:eastAsia="en-US"/>
              </w:rPr>
              <w:t>7b</w:t>
            </w:r>
          </w:p>
        </w:tc>
        <w:tc>
          <w:tcPr>
            <w:tcW w:w="802" w:type="dxa"/>
            <w:vAlign w:val="bottom"/>
            <w:hideMark/>
          </w:tcPr>
          <w:p w:rsidR="00D41F68" w:rsidRPr="00D41F68" w:rsidRDefault="00D41F68" w:rsidP="00202515">
            <w:pPr>
              <w:widowControl/>
              <w:suppressAutoHyphens w:val="0"/>
              <w:spacing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Times New Roman"/>
                <w:kern w:val="0"/>
                <w:sz w:val="22"/>
                <w:szCs w:val="22"/>
                <w:lang w:eastAsia="en-US"/>
              </w:rPr>
            </w:pPr>
            <w:r w:rsidRPr="00D41F68">
              <w:rPr>
                <w:rFonts w:eastAsia="Times New Roman" w:cs="Times New Roman"/>
                <w:kern w:val="0"/>
                <w:sz w:val="22"/>
                <w:szCs w:val="22"/>
                <w:lang w:eastAsia="en-US"/>
              </w:rPr>
              <w:t>8</w:t>
            </w:r>
          </w:p>
        </w:tc>
        <w:tc>
          <w:tcPr>
            <w:tcW w:w="802" w:type="dxa"/>
            <w:noWrap/>
            <w:vAlign w:val="bottom"/>
            <w:hideMark/>
          </w:tcPr>
          <w:p w:rsidR="00D41F68" w:rsidRPr="00D41F68" w:rsidRDefault="00D41F68" w:rsidP="00202515">
            <w:pPr>
              <w:widowControl/>
              <w:suppressAutoHyphens w:val="0"/>
              <w:spacing w:line="240" w:lineRule="auto"/>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en-US"/>
              </w:rPr>
            </w:pPr>
            <w:r w:rsidRPr="00D41F68">
              <w:rPr>
                <w:rFonts w:ascii="Arial" w:eastAsia="Times New Roman" w:hAnsi="Arial" w:cs="Arial"/>
                <w:kern w:val="0"/>
                <w:sz w:val="22"/>
                <w:szCs w:val="22"/>
                <w:lang w:eastAsia="en-US"/>
              </w:rPr>
              <w:t>9</w:t>
            </w:r>
          </w:p>
        </w:tc>
        <w:tc>
          <w:tcPr>
            <w:tcW w:w="802" w:type="dxa"/>
            <w:vAlign w:val="bottom"/>
            <w:hideMark/>
          </w:tcPr>
          <w:p w:rsidR="00D41F68" w:rsidRPr="00D41F68" w:rsidRDefault="00D41F68" w:rsidP="00202515">
            <w:pPr>
              <w:widowControl/>
              <w:suppressAutoHyphens w:val="0"/>
              <w:spacing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Times New Roman"/>
                <w:kern w:val="0"/>
                <w:sz w:val="22"/>
                <w:szCs w:val="22"/>
                <w:lang w:eastAsia="en-US"/>
              </w:rPr>
            </w:pPr>
            <w:r w:rsidRPr="00D41F68">
              <w:rPr>
                <w:rFonts w:eastAsia="Times New Roman" w:cs="Times New Roman"/>
                <w:kern w:val="0"/>
                <w:sz w:val="22"/>
                <w:szCs w:val="22"/>
                <w:lang w:eastAsia="en-US"/>
              </w:rPr>
              <w:t>10</w:t>
            </w:r>
          </w:p>
        </w:tc>
        <w:tc>
          <w:tcPr>
            <w:tcW w:w="707" w:type="dxa"/>
            <w:noWrap/>
            <w:vAlign w:val="bottom"/>
            <w:hideMark/>
          </w:tcPr>
          <w:p w:rsidR="00D41F68" w:rsidRPr="00D41F68" w:rsidRDefault="00D41F68" w:rsidP="00202515">
            <w:pPr>
              <w:widowControl/>
              <w:suppressAutoHyphens w:val="0"/>
              <w:spacing w:line="240" w:lineRule="auto"/>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en-US"/>
              </w:rPr>
            </w:pPr>
            <w:r w:rsidRPr="00D41F68">
              <w:rPr>
                <w:rFonts w:ascii="Arial" w:eastAsia="Times New Roman" w:hAnsi="Arial" w:cs="Arial"/>
                <w:kern w:val="0"/>
                <w:sz w:val="22"/>
                <w:szCs w:val="22"/>
                <w:lang w:eastAsia="en-US"/>
              </w:rPr>
              <w:t>11</w:t>
            </w:r>
          </w:p>
        </w:tc>
        <w:tc>
          <w:tcPr>
            <w:tcW w:w="707" w:type="dxa"/>
            <w:noWrap/>
            <w:hideMark/>
          </w:tcPr>
          <w:p w:rsidR="00D41F68" w:rsidRPr="00D41F68" w:rsidRDefault="00D41F68" w:rsidP="00202515">
            <w:pPr>
              <w:widowControl/>
              <w:suppressAutoHyphens w:val="0"/>
              <w:spacing w:line="240" w:lineRule="auto"/>
              <w:jc w:val="right"/>
              <w:cnfStyle w:val="100000000000" w:firstRow="1" w:lastRow="0" w:firstColumn="0" w:lastColumn="0" w:oddVBand="0" w:evenVBand="0" w:oddHBand="0" w:evenHBand="0" w:firstRowFirstColumn="0" w:firstRowLastColumn="0" w:lastRowFirstColumn="0" w:lastRowLastColumn="0"/>
              <w:rPr>
                <w:rFonts w:ascii="Nachlieli CLM" w:eastAsia="Nachlieli CLM" w:hAnsi="Arial" w:cs="Arial"/>
                <w:kern w:val="0"/>
                <w:sz w:val="20"/>
                <w:szCs w:val="20"/>
                <w:lang w:eastAsia="en-US"/>
              </w:rPr>
            </w:pPr>
          </w:p>
        </w:tc>
      </w:tr>
      <w:tr w:rsidR="00202515" w:rsidRPr="00D41F68" w:rsidTr="00202515">
        <w:trPr>
          <w:cnfStyle w:val="000000100000" w:firstRow="0" w:lastRow="0" w:firstColumn="0" w:lastColumn="0" w:oddVBand="0" w:evenVBand="0" w:oddHBand="1" w:evenHBand="0" w:firstRowFirstColumn="0" w:firstRowLastColumn="0" w:lastRowFirstColumn="0" w:lastRowLastColumn="0"/>
          <w:cantSplit/>
          <w:trHeight w:val="3465"/>
        </w:trPr>
        <w:tc>
          <w:tcPr>
            <w:cnfStyle w:val="001000000000" w:firstRow="0" w:lastRow="0" w:firstColumn="1" w:lastColumn="0" w:oddVBand="0" w:evenVBand="0" w:oddHBand="0" w:evenHBand="0" w:firstRowFirstColumn="0" w:firstRowLastColumn="0" w:lastRowFirstColumn="0" w:lastRowLastColumn="0"/>
            <w:tcW w:w="2518" w:type="dxa"/>
            <w:hideMark/>
          </w:tcPr>
          <w:p w:rsidR="00D41F68" w:rsidRPr="00D41F68" w:rsidRDefault="00D41F68" w:rsidP="00D41F68">
            <w:pPr>
              <w:widowControl/>
              <w:suppressAutoHyphens w:val="0"/>
              <w:spacing w:line="240" w:lineRule="auto"/>
              <w:jc w:val="left"/>
              <w:rPr>
                <w:rFonts w:eastAsia="Times New Roman" w:cs="Times New Roman"/>
                <w:kern w:val="0"/>
                <w:lang w:eastAsia="en-US"/>
              </w:rPr>
            </w:pPr>
            <w:r w:rsidRPr="00D41F68">
              <w:rPr>
                <w:rFonts w:eastAsia="Times New Roman" w:cs="Times New Roman"/>
                <w:kern w:val="0"/>
                <w:lang w:eastAsia="en-US"/>
              </w:rPr>
              <w:t>Title</w:t>
            </w:r>
          </w:p>
        </w:tc>
        <w:tc>
          <w:tcPr>
            <w:tcW w:w="1704" w:type="dxa"/>
            <w:textDirection w:val="btLr"/>
            <w:vAlign w:val="bottom"/>
            <w:hideMark/>
          </w:tcPr>
          <w:p w:rsidR="00D41F68" w:rsidRPr="00D41F68" w:rsidRDefault="00D41F68" w:rsidP="00202515">
            <w:pPr>
              <w:widowControl/>
              <w:suppressAutoHyphens w:val="0"/>
              <w:spacing w:line="240" w:lineRule="auto"/>
              <w:ind w:left="113" w:right="113"/>
              <w:jc w:val="left"/>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eastAsia="en-US"/>
              </w:rPr>
            </w:pPr>
            <w:r w:rsidRPr="00D41F68">
              <w:rPr>
                <w:rFonts w:eastAsia="Times New Roman" w:cs="Times New Roman"/>
                <w:kern w:val="0"/>
                <w:lang w:eastAsia="en-US"/>
              </w:rPr>
              <w:t>Base case</w:t>
            </w:r>
          </w:p>
        </w:tc>
        <w:tc>
          <w:tcPr>
            <w:tcW w:w="802" w:type="dxa"/>
            <w:textDirection w:val="btLr"/>
            <w:vAlign w:val="bottom"/>
            <w:hideMark/>
          </w:tcPr>
          <w:p w:rsidR="00D41F68" w:rsidRPr="00D41F68" w:rsidRDefault="00D41F68" w:rsidP="00202515">
            <w:pPr>
              <w:widowControl/>
              <w:suppressAutoHyphens w:val="0"/>
              <w:spacing w:line="240" w:lineRule="auto"/>
              <w:ind w:left="113" w:right="113"/>
              <w:jc w:val="left"/>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eastAsia="en-US"/>
              </w:rPr>
            </w:pPr>
            <w:r w:rsidRPr="00D41F68">
              <w:rPr>
                <w:rFonts w:eastAsia="Times New Roman" w:cs="Times New Roman"/>
                <w:kern w:val="0"/>
                <w:lang w:eastAsia="en-US"/>
              </w:rPr>
              <w:t>Km-adjusted base case</w:t>
            </w:r>
          </w:p>
        </w:tc>
        <w:tc>
          <w:tcPr>
            <w:tcW w:w="802" w:type="dxa"/>
            <w:textDirection w:val="btLr"/>
            <w:vAlign w:val="bottom"/>
            <w:hideMark/>
          </w:tcPr>
          <w:p w:rsidR="00D41F68" w:rsidRPr="00D41F68" w:rsidRDefault="00D41F68" w:rsidP="00202515">
            <w:pPr>
              <w:widowControl/>
              <w:suppressAutoHyphens w:val="0"/>
              <w:spacing w:line="240" w:lineRule="auto"/>
              <w:ind w:left="113" w:right="113"/>
              <w:jc w:val="left"/>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eastAsia="en-US"/>
              </w:rPr>
            </w:pPr>
            <w:r w:rsidRPr="00D41F68">
              <w:rPr>
                <w:rFonts w:eastAsia="Times New Roman" w:cs="Times New Roman"/>
                <w:kern w:val="0"/>
                <w:lang w:eastAsia="en-US"/>
              </w:rPr>
              <w:t>Minimum 20 km / day</w:t>
            </w:r>
          </w:p>
        </w:tc>
        <w:tc>
          <w:tcPr>
            <w:tcW w:w="802" w:type="dxa"/>
            <w:textDirection w:val="btLr"/>
            <w:vAlign w:val="bottom"/>
            <w:hideMark/>
          </w:tcPr>
          <w:p w:rsidR="00D41F68" w:rsidRPr="00D41F68" w:rsidRDefault="00D41F68" w:rsidP="00202515">
            <w:pPr>
              <w:widowControl/>
              <w:suppressAutoHyphens w:val="0"/>
              <w:spacing w:line="240" w:lineRule="auto"/>
              <w:ind w:left="113" w:right="113"/>
              <w:jc w:val="left"/>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eastAsia="en-US"/>
              </w:rPr>
            </w:pPr>
            <w:r w:rsidRPr="00D41F68">
              <w:rPr>
                <w:rFonts w:eastAsia="Times New Roman" w:cs="Times New Roman"/>
                <w:kern w:val="0"/>
                <w:lang w:eastAsia="en-US"/>
              </w:rPr>
              <w:t>Minimum 20 km a day, Miles=1.6 km</w:t>
            </w:r>
          </w:p>
        </w:tc>
        <w:tc>
          <w:tcPr>
            <w:tcW w:w="802" w:type="dxa"/>
            <w:textDirection w:val="btLr"/>
            <w:vAlign w:val="bottom"/>
            <w:hideMark/>
          </w:tcPr>
          <w:p w:rsidR="00D41F68" w:rsidRPr="00D41F68" w:rsidRDefault="00D41F68" w:rsidP="00202515">
            <w:pPr>
              <w:widowControl/>
              <w:suppressAutoHyphens w:val="0"/>
              <w:spacing w:line="240" w:lineRule="auto"/>
              <w:ind w:left="113" w:right="113"/>
              <w:jc w:val="left"/>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eastAsia="en-US"/>
              </w:rPr>
            </w:pPr>
            <w:r w:rsidRPr="00D41F68">
              <w:rPr>
                <w:rFonts w:eastAsia="Times New Roman" w:cs="Times New Roman"/>
                <w:kern w:val="0"/>
                <w:lang w:eastAsia="en-US"/>
              </w:rPr>
              <w:t>Triangular distribution of purchase price</w:t>
            </w:r>
          </w:p>
        </w:tc>
        <w:tc>
          <w:tcPr>
            <w:tcW w:w="802" w:type="dxa"/>
            <w:textDirection w:val="btLr"/>
            <w:vAlign w:val="bottom"/>
            <w:hideMark/>
          </w:tcPr>
          <w:p w:rsidR="00D41F68" w:rsidRPr="00D41F68" w:rsidRDefault="00D41F68" w:rsidP="00202515">
            <w:pPr>
              <w:widowControl/>
              <w:suppressAutoHyphens w:val="0"/>
              <w:spacing w:line="240" w:lineRule="auto"/>
              <w:ind w:left="113" w:right="113"/>
              <w:jc w:val="left"/>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eastAsia="en-US"/>
              </w:rPr>
            </w:pPr>
            <w:r w:rsidRPr="00D41F68">
              <w:rPr>
                <w:rFonts w:eastAsia="Times New Roman" w:cs="Times New Roman"/>
                <w:kern w:val="0"/>
                <w:lang w:eastAsia="en-US"/>
              </w:rPr>
              <w:t>Purchase price for shared cars capped at NIS 160000</w:t>
            </w:r>
          </w:p>
        </w:tc>
        <w:tc>
          <w:tcPr>
            <w:tcW w:w="802" w:type="dxa"/>
            <w:textDirection w:val="btLr"/>
            <w:vAlign w:val="bottom"/>
            <w:hideMark/>
          </w:tcPr>
          <w:p w:rsidR="00D41F68" w:rsidRPr="00D41F68" w:rsidRDefault="00D41F68" w:rsidP="00202515">
            <w:pPr>
              <w:widowControl/>
              <w:suppressAutoHyphens w:val="0"/>
              <w:spacing w:line="240" w:lineRule="auto"/>
              <w:ind w:left="113" w:right="113"/>
              <w:jc w:val="left"/>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eastAsia="en-US"/>
              </w:rPr>
            </w:pPr>
            <w:r w:rsidRPr="00D41F68">
              <w:rPr>
                <w:rFonts w:eastAsia="Times New Roman" w:cs="Times New Roman"/>
                <w:kern w:val="0"/>
                <w:lang w:eastAsia="en-US"/>
              </w:rPr>
              <w:t>2</w:t>
            </w:r>
            <w:r w:rsidRPr="00D41F68">
              <w:rPr>
                <w:rFonts w:eastAsia="Times New Roman" w:cs="Times New Roman"/>
                <w:kern w:val="0"/>
                <w:vertAlign w:val="superscript"/>
                <w:lang w:eastAsia="en-US"/>
              </w:rPr>
              <w:t>nd</w:t>
            </w:r>
            <w:r w:rsidRPr="00D41F68">
              <w:rPr>
                <w:rFonts w:eastAsia="Times New Roman" w:cs="Times New Roman"/>
                <w:kern w:val="0"/>
                <w:lang w:eastAsia="en-US"/>
              </w:rPr>
              <w:t xml:space="preserve"> and 3</w:t>
            </w:r>
            <w:r w:rsidRPr="00D41F68">
              <w:rPr>
                <w:rFonts w:eastAsia="Times New Roman" w:cs="Times New Roman"/>
                <w:kern w:val="0"/>
                <w:vertAlign w:val="superscript"/>
                <w:lang w:eastAsia="en-US"/>
              </w:rPr>
              <w:t>rd</w:t>
            </w:r>
            <w:r w:rsidRPr="00D41F68">
              <w:rPr>
                <w:rFonts w:eastAsia="Times New Roman" w:cs="Times New Roman"/>
                <w:kern w:val="0"/>
                <w:lang w:eastAsia="en-US"/>
              </w:rPr>
              <w:t xml:space="preserve"> cars only</w:t>
            </w:r>
          </w:p>
        </w:tc>
        <w:tc>
          <w:tcPr>
            <w:tcW w:w="802" w:type="dxa"/>
            <w:textDirection w:val="btLr"/>
            <w:vAlign w:val="bottom"/>
            <w:hideMark/>
          </w:tcPr>
          <w:p w:rsidR="00D41F68" w:rsidRPr="00D41F68" w:rsidRDefault="00D41F68" w:rsidP="00202515">
            <w:pPr>
              <w:widowControl/>
              <w:suppressAutoHyphens w:val="0"/>
              <w:spacing w:line="240" w:lineRule="auto"/>
              <w:ind w:left="113" w:right="113"/>
              <w:jc w:val="left"/>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eastAsia="en-US"/>
              </w:rPr>
            </w:pPr>
            <w:r w:rsidRPr="00D41F68">
              <w:rPr>
                <w:rFonts w:eastAsia="Times New Roman" w:cs="Times New Roman"/>
                <w:kern w:val="0"/>
                <w:lang w:eastAsia="en-US"/>
              </w:rPr>
              <w:t>all vehicles except 1st</w:t>
            </w:r>
          </w:p>
        </w:tc>
        <w:tc>
          <w:tcPr>
            <w:tcW w:w="802" w:type="dxa"/>
            <w:textDirection w:val="btLr"/>
            <w:vAlign w:val="bottom"/>
            <w:hideMark/>
          </w:tcPr>
          <w:p w:rsidR="00D41F68" w:rsidRPr="00D41F68" w:rsidRDefault="00D41F68" w:rsidP="00202515">
            <w:pPr>
              <w:widowControl/>
              <w:suppressAutoHyphens w:val="0"/>
              <w:spacing w:line="240" w:lineRule="auto"/>
              <w:ind w:left="113" w:right="113"/>
              <w:jc w:val="left"/>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eastAsia="en-US"/>
              </w:rPr>
            </w:pPr>
            <w:r w:rsidRPr="00D41F68">
              <w:rPr>
                <w:rFonts w:eastAsia="Times New Roman" w:cs="Times New Roman"/>
                <w:kern w:val="0"/>
                <w:lang w:eastAsia="en-US"/>
              </w:rPr>
              <w:t>Minimum saving 4000 NIS</w:t>
            </w:r>
          </w:p>
        </w:tc>
        <w:tc>
          <w:tcPr>
            <w:tcW w:w="802" w:type="dxa"/>
            <w:noWrap/>
            <w:textDirection w:val="btLr"/>
            <w:vAlign w:val="bottom"/>
            <w:hideMark/>
          </w:tcPr>
          <w:p w:rsidR="00D41F68" w:rsidRPr="00D41F68" w:rsidRDefault="00D41F68" w:rsidP="00202515">
            <w:pPr>
              <w:widowControl/>
              <w:suppressAutoHyphens w:val="0"/>
              <w:spacing w:line="240" w:lineRule="auto"/>
              <w:ind w:left="113" w:right="113"/>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D41F68">
              <w:rPr>
                <w:rFonts w:ascii="Arial" w:eastAsia="Times New Roman" w:hAnsi="Arial" w:cs="Arial"/>
                <w:kern w:val="0"/>
                <w:sz w:val="20"/>
                <w:szCs w:val="20"/>
                <w:lang w:eastAsia="en-US"/>
              </w:rPr>
              <w:t>Gas prices = NIS 5</w:t>
            </w:r>
          </w:p>
        </w:tc>
        <w:tc>
          <w:tcPr>
            <w:tcW w:w="802" w:type="dxa"/>
            <w:textDirection w:val="btLr"/>
            <w:vAlign w:val="bottom"/>
            <w:hideMark/>
          </w:tcPr>
          <w:p w:rsidR="00D41F68" w:rsidRPr="00D41F68" w:rsidRDefault="00D41F68" w:rsidP="00202515">
            <w:pPr>
              <w:widowControl/>
              <w:suppressAutoHyphens w:val="0"/>
              <w:spacing w:line="240" w:lineRule="auto"/>
              <w:ind w:left="113" w:right="113"/>
              <w:jc w:val="left"/>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lang w:eastAsia="en-US"/>
              </w:rPr>
            </w:pPr>
            <w:r w:rsidRPr="00D41F68">
              <w:rPr>
                <w:rFonts w:eastAsia="Times New Roman" w:cs="Times New Roman"/>
                <w:kern w:val="0"/>
                <w:sz w:val="20"/>
                <w:szCs w:val="20"/>
                <w:lang w:eastAsia="en-US"/>
              </w:rPr>
              <w:t>50% price increase in hourly rates Car2Go</w:t>
            </w:r>
          </w:p>
        </w:tc>
        <w:tc>
          <w:tcPr>
            <w:tcW w:w="707" w:type="dxa"/>
            <w:textDirection w:val="btLr"/>
            <w:vAlign w:val="bottom"/>
            <w:hideMark/>
          </w:tcPr>
          <w:p w:rsidR="00D41F68" w:rsidRPr="00D41F68" w:rsidRDefault="00D41F68" w:rsidP="00202515">
            <w:pPr>
              <w:widowControl/>
              <w:suppressAutoHyphens w:val="0"/>
              <w:spacing w:line="240" w:lineRule="auto"/>
              <w:ind w:left="113" w:right="113"/>
              <w:jc w:val="left"/>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20"/>
                <w:szCs w:val="20"/>
                <w:lang w:eastAsia="en-US"/>
              </w:rPr>
            </w:pPr>
            <w:r w:rsidRPr="00D41F68">
              <w:rPr>
                <w:rFonts w:eastAsia="Times New Roman" w:cs="Times New Roman"/>
                <w:kern w:val="0"/>
                <w:sz w:val="20"/>
                <w:szCs w:val="20"/>
                <w:lang w:eastAsia="en-US"/>
              </w:rPr>
              <w:t>50% price increase in hourly rates Car2Go, minimum saving NIS 4000</w:t>
            </w:r>
          </w:p>
        </w:tc>
        <w:tc>
          <w:tcPr>
            <w:tcW w:w="707" w:type="dxa"/>
            <w:textDirection w:val="btLr"/>
            <w:vAlign w:val="bottom"/>
            <w:hideMark/>
          </w:tcPr>
          <w:p w:rsidR="00D41F68" w:rsidRPr="00D41F68" w:rsidRDefault="00202515" w:rsidP="00202515">
            <w:pPr>
              <w:widowControl/>
              <w:suppressAutoHyphens w:val="0"/>
              <w:spacing w:line="240" w:lineRule="auto"/>
              <w:ind w:left="113" w:right="113"/>
              <w:jc w:val="left"/>
              <w:cnfStyle w:val="000000100000" w:firstRow="0" w:lastRow="0" w:firstColumn="0" w:lastColumn="0" w:oddVBand="0" w:evenVBand="0" w:oddHBand="1" w:evenHBand="0" w:firstRowFirstColumn="0" w:firstRowLastColumn="0" w:lastRowFirstColumn="0" w:lastRowLastColumn="0"/>
              <w:rPr>
                <w:rFonts w:eastAsia="Times New Roman" w:cs="Times New Roman"/>
                <w:kern w:val="0"/>
                <w:lang w:eastAsia="en-US"/>
              </w:rPr>
            </w:pPr>
            <w:r>
              <w:rPr>
                <w:rFonts w:eastAsia="Times New Roman" w:cs="Times New Roman"/>
                <w:kern w:val="0"/>
                <w:lang w:eastAsia="en-US"/>
              </w:rPr>
              <w:t xml:space="preserve">Replication of </w:t>
            </w:r>
            <w:r w:rsidR="00D41F68" w:rsidRPr="00D41F68">
              <w:rPr>
                <w:rFonts w:eastAsia="Times New Roman" w:cs="Times New Roman"/>
                <w:kern w:val="0"/>
                <w:lang w:eastAsia="en-US"/>
              </w:rPr>
              <w:t>Schuster et al.</w:t>
            </w:r>
          </w:p>
        </w:tc>
      </w:tr>
      <w:tr w:rsidR="00202515" w:rsidRPr="00D41F68" w:rsidTr="00202515">
        <w:trPr>
          <w:trHeight w:val="765"/>
        </w:trPr>
        <w:tc>
          <w:tcPr>
            <w:cnfStyle w:val="001000000000" w:firstRow="0" w:lastRow="0" w:firstColumn="1" w:lastColumn="0" w:oddVBand="0" w:evenVBand="0" w:oddHBand="0" w:evenHBand="0" w:firstRowFirstColumn="0" w:firstRowLastColumn="0" w:lastRowFirstColumn="0" w:lastRowLastColumn="0"/>
            <w:tcW w:w="2518" w:type="dxa"/>
            <w:hideMark/>
          </w:tcPr>
          <w:p w:rsidR="00D41F68" w:rsidRPr="00D41F68" w:rsidRDefault="00D41F68" w:rsidP="00D41F68">
            <w:pPr>
              <w:widowControl/>
              <w:suppressAutoHyphens w:val="0"/>
              <w:spacing w:line="240" w:lineRule="auto"/>
              <w:jc w:val="left"/>
              <w:rPr>
                <w:rFonts w:eastAsia="Times New Roman" w:cs="Times New Roman"/>
                <w:b w:val="0"/>
                <w:bCs w:val="0"/>
                <w:kern w:val="0"/>
                <w:sz w:val="22"/>
                <w:szCs w:val="22"/>
                <w:lang w:eastAsia="en-US"/>
              </w:rPr>
            </w:pPr>
            <w:r w:rsidRPr="00D41F68">
              <w:rPr>
                <w:rFonts w:eastAsia="Times New Roman" w:cs="Times New Roman"/>
                <w:b w:val="0"/>
                <w:bCs w:val="0"/>
                <w:kern w:val="0"/>
                <w:sz w:val="22"/>
                <w:szCs w:val="22"/>
                <w:lang w:eastAsia="en-US"/>
              </w:rPr>
              <w:t>Miles conversion rate</w:t>
            </w:r>
          </w:p>
        </w:tc>
        <w:tc>
          <w:tcPr>
            <w:tcW w:w="1704" w:type="dxa"/>
            <w:hideMark/>
          </w:tcPr>
          <w:p w:rsidR="00D41F68" w:rsidRPr="00D41F68" w:rsidRDefault="00D41F68" w:rsidP="00D41F68">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1.6</w:t>
            </w:r>
          </w:p>
        </w:tc>
        <w:tc>
          <w:tcPr>
            <w:tcW w:w="802" w:type="dxa"/>
            <w:hideMark/>
          </w:tcPr>
          <w:p w:rsidR="00D41F68" w:rsidRPr="00D41F68" w:rsidRDefault="00D41F68" w:rsidP="00D41F68">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1.35</w:t>
            </w:r>
          </w:p>
        </w:tc>
        <w:tc>
          <w:tcPr>
            <w:tcW w:w="802" w:type="dxa"/>
            <w:hideMark/>
          </w:tcPr>
          <w:p w:rsidR="00D41F68" w:rsidRPr="00D41F68" w:rsidRDefault="00D41F68" w:rsidP="00D41F68">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1.35</w:t>
            </w:r>
          </w:p>
        </w:tc>
        <w:tc>
          <w:tcPr>
            <w:tcW w:w="802" w:type="dxa"/>
            <w:hideMark/>
          </w:tcPr>
          <w:p w:rsidR="00D41F68" w:rsidRPr="00D41F68" w:rsidRDefault="00D41F68" w:rsidP="00D41F68">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1.6</w:t>
            </w:r>
          </w:p>
        </w:tc>
        <w:tc>
          <w:tcPr>
            <w:tcW w:w="802" w:type="dxa"/>
            <w:hideMark/>
          </w:tcPr>
          <w:p w:rsidR="00D41F68" w:rsidRPr="00D41F68" w:rsidRDefault="00D41F68" w:rsidP="00D41F68">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1.6</w:t>
            </w:r>
          </w:p>
        </w:tc>
        <w:tc>
          <w:tcPr>
            <w:tcW w:w="802" w:type="dxa"/>
            <w:hideMark/>
          </w:tcPr>
          <w:p w:rsidR="00D41F68" w:rsidRPr="00D41F68" w:rsidRDefault="00D41F68" w:rsidP="00D41F68">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1.6</w:t>
            </w:r>
          </w:p>
        </w:tc>
        <w:tc>
          <w:tcPr>
            <w:tcW w:w="802" w:type="dxa"/>
            <w:hideMark/>
          </w:tcPr>
          <w:p w:rsidR="00D41F68" w:rsidRPr="00D41F68" w:rsidRDefault="00D41F68" w:rsidP="00D41F68">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1.6</w:t>
            </w:r>
          </w:p>
        </w:tc>
        <w:tc>
          <w:tcPr>
            <w:tcW w:w="802" w:type="dxa"/>
            <w:hideMark/>
          </w:tcPr>
          <w:p w:rsidR="00D41F68" w:rsidRPr="00D41F68" w:rsidRDefault="00D41F68" w:rsidP="00D41F68">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1.35</w:t>
            </w:r>
          </w:p>
        </w:tc>
        <w:tc>
          <w:tcPr>
            <w:tcW w:w="802" w:type="dxa"/>
            <w:hideMark/>
          </w:tcPr>
          <w:p w:rsidR="00D41F68" w:rsidRPr="00D41F68" w:rsidRDefault="00D41F68" w:rsidP="00D41F68">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1.35</w:t>
            </w:r>
          </w:p>
        </w:tc>
        <w:tc>
          <w:tcPr>
            <w:tcW w:w="802" w:type="dxa"/>
            <w:noWrap/>
            <w:hideMark/>
          </w:tcPr>
          <w:p w:rsidR="00D41F68" w:rsidRPr="00D41F68" w:rsidRDefault="00D41F68" w:rsidP="00D41F68">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9"/>
                <w:szCs w:val="19"/>
                <w:lang w:eastAsia="en-US"/>
              </w:rPr>
            </w:pPr>
            <w:r w:rsidRPr="00D41F68">
              <w:rPr>
                <w:rFonts w:ascii="Arial" w:eastAsia="Times New Roman" w:hAnsi="Arial" w:cs="Arial"/>
                <w:kern w:val="0"/>
                <w:sz w:val="19"/>
                <w:szCs w:val="19"/>
                <w:lang w:eastAsia="en-US"/>
              </w:rPr>
              <w:t>1.35</w:t>
            </w:r>
          </w:p>
        </w:tc>
        <w:tc>
          <w:tcPr>
            <w:tcW w:w="802" w:type="dxa"/>
            <w:hideMark/>
          </w:tcPr>
          <w:p w:rsidR="00D41F68" w:rsidRPr="00D41F68" w:rsidRDefault="00D41F68" w:rsidP="00D41F68">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1.35</w:t>
            </w:r>
          </w:p>
        </w:tc>
        <w:tc>
          <w:tcPr>
            <w:tcW w:w="707" w:type="dxa"/>
            <w:hideMark/>
          </w:tcPr>
          <w:p w:rsidR="00D41F68" w:rsidRPr="00D41F68" w:rsidRDefault="00D41F68" w:rsidP="00D41F68">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1.35</w:t>
            </w:r>
          </w:p>
        </w:tc>
        <w:tc>
          <w:tcPr>
            <w:tcW w:w="707" w:type="dxa"/>
            <w:hideMark/>
          </w:tcPr>
          <w:p w:rsidR="00D41F68" w:rsidRPr="00D41F68" w:rsidRDefault="00D41F68" w:rsidP="00D41F68">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1</w:t>
            </w:r>
          </w:p>
        </w:tc>
      </w:tr>
      <w:tr w:rsidR="00202515" w:rsidRPr="00D41F68" w:rsidTr="0020251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18" w:type="dxa"/>
            <w:noWrap/>
            <w:hideMark/>
          </w:tcPr>
          <w:p w:rsidR="00D41F68" w:rsidRPr="00D41F68" w:rsidRDefault="00D44FBA" w:rsidP="00D41F68">
            <w:pPr>
              <w:widowControl/>
              <w:suppressAutoHyphens w:val="0"/>
              <w:spacing w:line="240" w:lineRule="auto"/>
              <w:jc w:val="left"/>
              <w:rPr>
                <w:rFonts w:ascii="Arial" w:eastAsia="Times New Roman" w:hAnsi="Arial" w:cs="Arial"/>
                <w:b w:val="0"/>
                <w:bCs w:val="0"/>
                <w:kern w:val="0"/>
                <w:sz w:val="22"/>
                <w:szCs w:val="22"/>
                <w:lang w:eastAsia="en-US"/>
              </w:rPr>
            </w:pPr>
            <w:r>
              <w:rPr>
                <w:rFonts w:ascii="Arial" w:eastAsia="Times New Roman" w:hAnsi="Arial" w:cs="Arial"/>
                <w:b w:val="0"/>
                <w:bCs w:val="0"/>
                <w:kern w:val="0"/>
                <w:sz w:val="22"/>
                <w:szCs w:val="22"/>
                <w:lang w:eastAsia="en-US"/>
              </w:rPr>
              <w:t xml:space="preserve">Mean </w:t>
            </w:r>
            <w:r w:rsidR="00D41F68" w:rsidRPr="00D41F68">
              <w:rPr>
                <w:rFonts w:ascii="Arial" w:eastAsia="Times New Roman" w:hAnsi="Arial" w:cs="Arial"/>
                <w:b w:val="0"/>
                <w:bCs w:val="0"/>
                <w:kern w:val="0"/>
                <w:sz w:val="22"/>
                <w:szCs w:val="22"/>
                <w:lang w:eastAsia="en-US"/>
              </w:rPr>
              <w:t>Ownership costs</w:t>
            </w:r>
          </w:p>
        </w:tc>
        <w:tc>
          <w:tcPr>
            <w:tcW w:w="1704" w:type="dxa"/>
            <w:hideMark/>
          </w:tcPr>
          <w:p w:rsidR="00D41F68" w:rsidRPr="00D41F68" w:rsidRDefault="00D41F68" w:rsidP="00D41F68">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34277</w:t>
            </w:r>
          </w:p>
        </w:tc>
        <w:tc>
          <w:tcPr>
            <w:tcW w:w="802" w:type="dxa"/>
            <w:hideMark/>
          </w:tcPr>
          <w:p w:rsidR="00D41F68" w:rsidRPr="00D41F68" w:rsidRDefault="00960321" w:rsidP="00D41F68">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19"/>
                <w:szCs w:val="19"/>
                <w:lang w:eastAsia="en-US"/>
              </w:rPr>
            </w:pPr>
            <w:r>
              <w:rPr>
                <w:rFonts w:eastAsia="Times New Roman" w:cs="Times New Roman"/>
                <w:kern w:val="0"/>
                <w:sz w:val="19"/>
                <w:szCs w:val="19"/>
                <w:lang w:eastAsia="en-US"/>
              </w:rPr>
              <w:t>32115</w:t>
            </w:r>
          </w:p>
        </w:tc>
        <w:tc>
          <w:tcPr>
            <w:tcW w:w="802" w:type="dxa"/>
            <w:hideMark/>
          </w:tcPr>
          <w:p w:rsidR="00D41F68" w:rsidRPr="00D41F68" w:rsidRDefault="00D41F68" w:rsidP="00D41F68">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33100</w:t>
            </w:r>
          </w:p>
        </w:tc>
        <w:tc>
          <w:tcPr>
            <w:tcW w:w="802" w:type="dxa"/>
            <w:hideMark/>
          </w:tcPr>
          <w:p w:rsidR="00D41F68" w:rsidRPr="00D41F68" w:rsidRDefault="00D41F68" w:rsidP="00D41F68">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34969</w:t>
            </w:r>
          </w:p>
        </w:tc>
        <w:tc>
          <w:tcPr>
            <w:tcW w:w="802" w:type="dxa"/>
            <w:hideMark/>
          </w:tcPr>
          <w:p w:rsidR="00D41F68" w:rsidRPr="00D41F68" w:rsidRDefault="00D41F68" w:rsidP="00D41F68">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37813</w:t>
            </w:r>
          </w:p>
        </w:tc>
        <w:tc>
          <w:tcPr>
            <w:tcW w:w="802" w:type="dxa"/>
            <w:hideMark/>
          </w:tcPr>
          <w:p w:rsidR="00D41F68" w:rsidRPr="00D41F68" w:rsidRDefault="00D41F68" w:rsidP="00D41F68">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34230</w:t>
            </w:r>
          </w:p>
        </w:tc>
        <w:tc>
          <w:tcPr>
            <w:tcW w:w="802" w:type="dxa"/>
            <w:hideMark/>
          </w:tcPr>
          <w:p w:rsidR="00D41F68" w:rsidRPr="00D41F68" w:rsidRDefault="00D41F68" w:rsidP="00D41F68">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34035</w:t>
            </w:r>
          </w:p>
        </w:tc>
        <w:tc>
          <w:tcPr>
            <w:tcW w:w="802" w:type="dxa"/>
            <w:hideMark/>
          </w:tcPr>
          <w:p w:rsidR="00D41F68" w:rsidRPr="00D41F68" w:rsidRDefault="00D41F68" w:rsidP="00D41F68">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32029</w:t>
            </w:r>
          </w:p>
        </w:tc>
        <w:tc>
          <w:tcPr>
            <w:tcW w:w="802" w:type="dxa"/>
            <w:hideMark/>
          </w:tcPr>
          <w:p w:rsidR="00D41F68" w:rsidRPr="00D41F68" w:rsidRDefault="00D41F68" w:rsidP="00D41F68">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32173</w:t>
            </w:r>
          </w:p>
        </w:tc>
        <w:tc>
          <w:tcPr>
            <w:tcW w:w="802" w:type="dxa"/>
            <w:hideMark/>
          </w:tcPr>
          <w:p w:rsidR="00D41F68" w:rsidRPr="00D41F68" w:rsidRDefault="00D41F68" w:rsidP="00D41F68">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29781</w:t>
            </w:r>
          </w:p>
        </w:tc>
        <w:tc>
          <w:tcPr>
            <w:tcW w:w="802" w:type="dxa"/>
            <w:hideMark/>
          </w:tcPr>
          <w:p w:rsidR="00D41F68" w:rsidRPr="00D41F68" w:rsidRDefault="00D41F68" w:rsidP="00D41F68">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32141</w:t>
            </w:r>
          </w:p>
        </w:tc>
        <w:tc>
          <w:tcPr>
            <w:tcW w:w="707" w:type="dxa"/>
            <w:hideMark/>
          </w:tcPr>
          <w:p w:rsidR="00D41F68" w:rsidRPr="00D41F68" w:rsidRDefault="00D41F68" w:rsidP="00D41F68">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32118</w:t>
            </w:r>
          </w:p>
        </w:tc>
        <w:tc>
          <w:tcPr>
            <w:tcW w:w="707" w:type="dxa"/>
            <w:hideMark/>
          </w:tcPr>
          <w:p w:rsidR="00D44FBA" w:rsidRPr="00D44FBA" w:rsidRDefault="00D44FBA" w:rsidP="00D44FBA">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19"/>
                <w:szCs w:val="19"/>
                <w:lang w:eastAsia="en-US"/>
              </w:rPr>
            </w:pPr>
            <w:r w:rsidRPr="00D44FBA">
              <w:rPr>
                <w:rFonts w:eastAsia="Times New Roman" w:cs="Times New Roman"/>
                <w:kern w:val="0"/>
                <w:sz w:val="19"/>
                <w:szCs w:val="19"/>
                <w:lang w:eastAsia="en-US"/>
              </w:rPr>
              <w:t>6309</w:t>
            </w:r>
          </w:p>
          <w:p w:rsidR="00D41F68" w:rsidRPr="00D41F68" w:rsidRDefault="00D41F68" w:rsidP="00D44FBA">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19"/>
                <w:szCs w:val="19"/>
                <w:lang w:eastAsia="en-US"/>
              </w:rPr>
            </w:pPr>
          </w:p>
        </w:tc>
      </w:tr>
      <w:tr w:rsidR="00202515" w:rsidRPr="00D41F68" w:rsidTr="00202515">
        <w:trPr>
          <w:trHeight w:val="315"/>
        </w:trPr>
        <w:tc>
          <w:tcPr>
            <w:cnfStyle w:val="001000000000" w:firstRow="0" w:lastRow="0" w:firstColumn="1" w:lastColumn="0" w:oddVBand="0" w:evenVBand="0" w:oddHBand="0" w:evenHBand="0" w:firstRowFirstColumn="0" w:firstRowLastColumn="0" w:lastRowFirstColumn="0" w:lastRowLastColumn="0"/>
            <w:tcW w:w="2518" w:type="dxa"/>
            <w:noWrap/>
            <w:hideMark/>
          </w:tcPr>
          <w:p w:rsidR="00D41F68" w:rsidRPr="00D41F68" w:rsidRDefault="00D44FBA" w:rsidP="00D41F68">
            <w:pPr>
              <w:widowControl/>
              <w:suppressAutoHyphens w:val="0"/>
              <w:spacing w:line="240" w:lineRule="auto"/>
              <w:jc w:val="left"/>
              <w:rPr>
                <w:rFonts w:ascii="Arial" w:eastAsia="Times New Roman" w:hAnsi="Arial" w:cs="Arial"/>
                <w:b w:val="0"/>
                <w:bCs w:val="0"/>
                <w:kern w:val="0"/>
                <w:sz w:val="22"/>
                <w:szCs w:val="22"/>
                <w:lang w:eastAsia="en-US"/>
              </w:rPr>
            </w:pPr>
            <w:r>
              <w:rPr>
                <w:rFonts w:ascii="Arial" w:eastAsia="Times New Roman" w:hAnsi="Arial" w:cs="Arial"/>
                <w:b w:val="0"/>
                <w:bCs w:val="0"/>
                <w:kern w:val="0"/>
                <w:sz w:val="22"/>
                <w:szCs w:val="22"/>
                <w:lang w:eastAsia="en-US"/>
              </w:rPr>
              <w:t xml:space="preserve">Mean </w:t>
            </w:r>
            <w:r w:rsidR="00D41F68" w:rsidRPr="00D41F68">
              <w:rPr>
                <w:rFonts w:ascii="Arial" w:eastAsia="Times New Roman" w:hAnsi="Arial" w:cs="Arial"/>
                <w:b w:val="0"/>
                <w:bCs w:val="0"/>
                <w:kern w:val="0"/>
                <w:sz w:val="22"/>
                <w:szCs w:val="22"/>
                <w:lang w:eastAsia="en-US"/>
              </w:rPr>
              <w:t>Sharing Costs</w:t>
            </w:r>
          </w:p>
        </w:tc>
        <w:tc>
          <w:tcPr>
            <w:tcW w:w="1704" w:type="dxa"/>
            <w:hideMark/>
          </w:tcPr>
          <w:p w:rsidR="00D41F68" w:rsidRPr="00D41F68" w:rsidRDefault="00D41F68" w:rsidP="00D41F68">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45660</w:t>
            </w:r>
          </w:p>
        </w:tc>
        <w:tc>
          <w:tcPr>
            <w:tcW w:w="802" w:type="dxa"/>
            <w:hideMark/>
          </w:tcPr>
          <w:p w:rsidR="00D41F68" w:rsidRPr="00D41F68" w:rsidRDefault="00960321" w:rsidP="00D41F68">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19"/>
                <w:szCs w:val="19"/>
                <w:lang w:eastAsia="en-US"/>
              </w:rPr>
            </w:pPr>
            <w:r>
              <w:rPr>
                <w:rFonts w:eastAsia="Times New Roman" w:cs="Times New Roman"/>
                <w:kern w:val="0"/>
                <w:sz w:val="19"/>
                <w:szCs w:val="19"/>
                <w:lang w:eastAsia="en-US"/>
              </w:rPr>
              <w:t>42653</w:t>
            </w:r>
          </w:p>
        </w:tc>
        <w:tc>
          <w:tcPr>
            <w:tcW w:w="802" w:type="dxa"/>
            <w:hideMark/>
          </w:tcPr>
          <w:p w:rsidR="00D41F68" w:rsidRPr="00D41F68" w:rsidRDefault="00D41F68" w:rsidP="00D41F68">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43853</w:t>
            </w:r>
          </w:p>
        </w:tc>
        <w:tc>
          <w:tcPr>
            <w:tcW w:w="802" w:type="dxa"/>
            <w:hideMark/>
          </w:tcPr>
          <w:p w:rsidR="00D41F68" w:rsidRPr="00D41F68" w:rsidRDefault="00D41F68" w:rsidP="00D41F68">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46549</w:t>
            </w:r>
          </w:p>
        </w:tc>
        <w:tc>
          <w:tcPr>
            <w:tcW w:w="802" w:type="dxa"/>
            <w:hideMark/>
          </w:tcPr>
          <w:p w:rsidR="00D41F68" w:rsidRPr="00D41F68" w:rsidRDefault="00D41F68" w:rsidP="00D41F68">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45494</w:t>
            </w:r>
          </w:p>
        </w:tc>
        <w:tc>
          <w:tcPr>
            <w:tcW w:w="802" w:type="dxa"/>
            <w:hideMark/>
          </w:tcPr>
          <w:p w:rsidR="00D41F68" w:rsidRPr="00D41F68" w:rsidRDefault="00D41F68" w:rsidP="00D41F68">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45553</w:t>
            </w:r>
          </w:p>
        </w:tc>
        <w:tc>
          <w:tcPr>
            <w:tcW w:w="802" w:type="dxa"/>
            <w:hideMark/>
          </w:tcPr>
          <w:p w:rsidR="00D41F68" w:rsidRPr="00D41F68" w:rsidRDefault="00D41F68" w:rsidP="00D41F68">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46147</w:t>
            </w:r>
          </w:p>
        </w:tc>
        <w:tc>
          <w:tcPr>
            <w:tcW w:w="802" w:type="dxa"/>
            <w:hideMark/>
          </w:tcPr>
          <w:p w:rsidR="00D41F68" w:rsidRPr="00D41F68" w:rsidRDefault="00D41F68" w:rsidP="00D41F68">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43429</w:t>
            </w:r>
          </w:p>
        </w:tc>
        <w:tc>
          <w:tcPr>
            <w:tcW w:w="802" w:type="dxa"/>
            <w:hideMark/>
          </w:tcPr>
          <w:p w:rsidR="00D41F68" w:rsidRPr="00D41F68" w:rsidRDefault="00D41F68" w:rsidP="00D41F68">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42667</w:t>
            </w:r>
          </w:p>
        </w:tc>
        <w:tc>
          <w:tcPr>
            <w:tcW w:w="802" w:type="dxa"/>
            <w:hideMark/>
          </w:tcPr>
          <w:p w:rsidR="00D41F68" w:rsidRPr="00D41F68" w:rsidRDefault="00D41F68" w:rsidP="00D41F68">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42631</w:t>
            </w:r>
          </w:p>
        </w:tc>
        <w:tc>
          <w:tcPr>
            <w:tcW w:w="802" w:type="dxa"/>
            <w:hideMark/>
          </w:tcPr>
          <w:p w:rsidR="00D41F68" w:rsidRPr="00D41F68" w:rsidRDefault="00D41F68" w:rsidP="00D41F68">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54701</w:t>
            </w:r>
          </w:p>
        </w:tc>
        <w:tc>
          <w:tcPr>
            <w:tcW w:w="707" w:type="dxa"/>
            <w:hideMark/>
          </w:tcPr>
          <w:p w:rsidR="00D41F68" w:rsidRPr="00D41F68" w:rsidRDefault="00D41F68" w:rsidP="00D41F68">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54703</w:t>
            </w:r>
          </w:p>
        </w:tc>
        <w:tc>
          <w:tcPr>
            <w:tcW w:w="707" w:type="dxa"/>
            <w:hideMark/>
          </w:tcPr>
          <w:p w:rsidR="00D44FBA" w:rsidRPr="00D44FBA" w:rsidRDefault="00D44FBA" w:rsidP="00D44FBA">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19"/>
                <w:szCs w:val="19"/>
                <w:lang w:eastAsia="en-US"/>
              </w:rPr>
            </w:pPr>
            <w:r w:rsidRPr="00D44FBA">
              <w:rPr>
                <w:rFonts w:eastAsia="Times New Roman" w:cs="Times New Roman"/>
                <w:kern w:val="0"/>
                <w:sz w:val="19"/>
                <w:szCs w:val="19"/>
                <w:lang w:eastAsia="en-US"/>
              </w:rPr>
              <w:t>24320</w:t>
            </w:r>
          </w:p>
          <w:p w:rsidR="00D41F68" w:rsidRPr="00D41F68" w:rsidRDefault="00D41F68" w:rsidP="00D44FBA">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19"/>
                <w:szCs w:val="19"/>
                <w:lang w:eastAsia="en-US"/>
              </w:rPr>
            </w:pPr>
          </w:p>
        </w:tc>
      </w:tr>
      <w:tr w:rsidR="00202515" w:rsidRPr="00D41F68" w:rsidTr="00202515">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2518" w:type="dxa"/>
            <w:hideMark/>
          </w:tcPr>
          <w:p w:rsidR="00D41F68" w:rsidRPr="00D41F68" w:rsidRDefault="00D41F68" w:rsidP="00D40A65">
            <w:pPr>
              <w:widowControl/>
              <w:suppressAutoHyphens w:val="0"/>
              <w:spacing w:line="240" w:lineRule="auto"/>
              <w:jc w:val="left"/>
              <w:rPr>
                <w:rFonts w:eastAsia="Times New Roman" w:cs="Times New Roman"/>
                <w:b w:val="0"/>
                <w:bCs w:val="0"/>
                <w:kern w:val="0"/>
                <w:sz w:val="22"/>
                <w:szCs w:val="22"/>
                <w:lang w:eastAsia="en-US"/>
              </w:rPr>
            </w:pPr>
            <w:r w:rsidRPr="00D41F68">
              <w:rPr>
                <w:rFonts w:eastAsia="Times New Roman" w:cs="Times New Roman"/>
                <w:b w:val="0"/>
                <w:bCs w:val="0"/>
                <w:kern w:val="0"/>
                <w:sz w:val="22"/>
                <w:szCs w:val="22"/>
                <w:lang w:eastAsia="en-US"/>
              </w:rPr>
              <w:t xml:space="preserve">Sharing - </w:t>
            </w:r>
            <w:r w:rsidR="00D40A65">
              <w:rPr>
                <w:rFonts w:eastAsia="Times New Roman" w:cs="Times New Roman"/>
                <w:b w:val="0"/>
                <w:bCs w:val="0"/>
                <w:kern w:val="0"/>
                <w:sz w:val="22"/>
                <w:szCs w:val="22"/>
                <w:lang w:eastAsia="en-US"/>
              </w:rPr>
              <w:t>Ratio</w:t>
            </w:r>
          </w:p>
        </w:tc>
        <w:tc>
          <w:tcPr>
            <w:tcW w:w="1704" w:type="dxa"/>
            <w:hideMark/>
          </w:tcPr>
          <w:p w:rsidR="00D41F68" w:rsidRPr="00D41F68" w:rsidRDefault="00D41F68" w:rsidP="00D41F68">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21.49%</w:t>
            </w:r>
          </w:p>
        </w:tc>
        <w:tc>
          <w:tcPr>
            <w:tcW w:w="802" w:type="dxa"/>
            <w:hideMark/>
          </w:tcPr>
          <w:p w:rsidR="00D41F68" w:rsidRPr="00D41F68" w:rsidRDefault="00D41F68" w:rsidP="00874E8E">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22.</w:t>
            </w:r>
            <w:r w:rsidR="00960321">
              <w:rPr>
                <w:rFonts w:eastAsia="Times New Roman" w:cs="Times New Roman"/>
                <w:kern w:val="0"/>
                <w:sz w:val="19"/>
                <w:szCs w:val="19"/>
                <w:lang w:eastAsia="en-US"/>
              </w:rPr>
              <w:t>29</w:t>
            </w:r>
            <w:r w:rsidRPr="00D41F68">
              <w:rPr>
                <w:rFonts w:eastAsia="Times New Roman" w:cs="Times New Roman"/>
                <w:kern w:val="0"/>
                <w:sz w:val="19"/>
                <w:szCs w:val="19"/>
                <w:lang w:eastAsia="en-US"/>
              </w:rPr>
              <w:t>%</w:t>
            </w:r>
          </w:p>
        </w:tc>
        <w:tc>
          <w:tcPr>
            <w:tcW w:w="802" w:type="dxa"/>
            <w:hideMark/>
          </w:tcPr>
          <w:p w:rsidR="00D41F68" w:rsidRPr="00D41F68" w:rsidRDefault="00D41F68" w:rsidP="00D41F68">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21.83%</w:t>
            </w:r>
          </w:p>
        </w:tc>
        <w:tc>
          <w:tcPr>
            <w:tcW w:w="802" w:type="dxa"/>
            <w:hideMark/>
          </w:tcPr>
          <w:p w:rsidR="00D41F68" w:rsidRPr="00D41F68" w:rsidRDefault="00D41F68" w:rsidP="00D41F68">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20.92%</w:t>
            </w:r>
          </w:p>
        </w:tc>
        <w:tc>
          <w:tcPr>
            <w:tcW w:w="802" w:type="dxa"/>
            <w:hideMark/>
          </w:tcPr>
          <w:p w:rsidR="00D41F68" w:rsidRPr="00D41F68" w:rsidRDefault="00D41F68" w:rsidP="00D41F68">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31.04%</w:t>
            </w:r>
          </w:p>
        </w:tc>
        <w:tc>
          <w:tcPr>
            <w:tcW w:w="802" w:type="dxa"/>
            <w:hideMark/>
          </w:tcPr>
          <w:p w:rsidR="00D41F68" w:rsidRPr="00D41F68" w:rsidRDefault="00D41F68" w:rsidP="00D41F68">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18.87%</w:t>
            </w:r>
          </w:p>
        </w:tc>
        <w:tc>
          <w:tcPr>
            <w:tcW w:w="802" w:type="dxa"/>
            <w:hideMark/>
          </w:tcPr>
          <w:p w:rsidR="00D41F68" w:rsidRPr="00D41F68" w:rsidRDefault="00D41F68" w:rsidP="00D41F68">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19.60%</w:t>
            </w:r>
          </w:p>
        </w:tc>
        <w:tc>
          <w:tcPr>
            <w:tcW w:w="802" w:type="dxa"/>
            <w:hideMark/>
          </w:tcPr>
          <w:p w:rsidR="00D41F68" w:rsidRPr="00D41F68" w:rsidRDefault="00D41F68" w:rsidP="00D41F68">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20.11%</w:t>
            </w:r>
          </w:p>
        </w:tc>
        <w:tc>
          <w:tcPr>
            <w:tcW w:w="802" w:type="dxa"/>
            <w:hideMark/>
          </w:tcPr>
          <w:p w:rsidR="00D41F68" w:rsidRPr="00D41F68" w:rsidRDefault="00D41F68" w:rsidP="00D41F68">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14.86%</w:t>
            </w:r>
          </w:p>
        </w:tc>
        <w:tc>
          <w:tcPr>
            <w:tcW w:w="802" w:type="dxa"/>
            <w:hideMark/>
          </w:tcPr>
          <w:p w:rsidR="00D41F68" w:rsidRPr="00D41F68" w:rsidRDefault="00D41F68" w:rsidP="00D41F68">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19.67%</w:t>
            </w:r>
          </w:p>
        </w:tc>
        <w:tc>
          <w:tcPr>
            <w:tcW w:w="802" w:type="dxa"/>
            <w:hideMark/>
          </w:tcPr>
          <w:p w:rsidR="00D41F68" w:rsidRPr="00D41F68" w:rsidRDefault="00D41F68" w:rsidP="00D41F68">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11.43%</w:t>
            </w:r>
          </w:p>
        </w:tc>
        <w:tc>
          <w:tcPr>
            <w:tcW w:w="707" w:type="dxa"/>
            <w:hideMark/>
          </w:tcPr>
          <w:p w:rsidR="00D41F68" w:rsidRPr="00D41F68" w:rsidRDefault="00D41F68" w:rsidP="00D41F68">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7.43%</w:t>
            </w:r>
          </w:p>
        </w:tc>
        <w:tc>
          <w:tcPr>
            <w:tcW w:w="707" w:type="dxa"/>
            <w:hideMark/>
          </w:tcPr>
          <w:p w:rsidR="00D41F68" w:rsidRPr="00D41F68" w:rsidRDefault="00D41F68" w:rsidP="00D41F68">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5.26%</w:t>
            </w:r>
          </w:p>
        </w:tc>
      </w:tr>
      <w:tr w:rsidR="00202515" w:rsidRPr="00D41F68" w:rsidTr="00202515">
        <w:trPr>
          <w:trHeight w:val="630"/>
        </w:trPr>
        <w:tc>
          <w:tcPr>
            <w:cnfStyle w:val="001000000000" w:firstRow="0" w:lastRow="0" w:firstColumn="1" w:lastColumn="0" w:oddVBand="0" w:evenVBand="0" w:oddHBand="0" w:evenHBand="0" w:firstRowFirstColumn="0" w:firstRowLastColumn="0" w:lastRowFirstColumn="0" w:lastRowLastColumn="0"/>
            <w:tcW w:w="2518" w:type="dxa"/>
            <w:hideMark/>
          </w:tcPr>
          <w:p w:rsidR="00D41F68" w:rsidRPr="00D41F68" w:rsidRDefault="00D44FBA" w:rsidP="00D41F68">
            <w:pPr>
              <w:widowControl/>
              <w:suppressAutoHyphens w:val="0"/>
              <w:spacing w:line="240" w:lineRule="auto"/>
              <w:jc w:val="left"/>
              <w:rPr>
                <w:rFonts w:eastAsia="Times New Roman" w:cs="Times New Roman"/>
                <w:b w:val="0"/>
                <w:bCs w:val="0"/>
                <w:kern w:val="0"/>
                <w:sz w:val="22"/>
                <w:szCs w:val="22"/>
                <w:lang w:eastAsia="en-US"/>
              </w:rPr>
            </w:pPr>
            <w:r>
              <w:rPr>
                <w:rFonts w:eastAsia="Times New Roman" w:cs="Times New Roman"/>
                <w:b w:val="0"/>
                <w:bCs w:val="0"/>
                <w:kern w:val="0"/>
                <w:sz w:val="22"/>
                <w:szCs w:val="22"/>
                <w:lang w:eastAsia="en-US"/>
              </w:rPr>
              <w:t xml:space="preserve">Mean </w:t>
            </w:r>
            <w:r w:rsidR="00D41F68" w:rsidRPr="00D41F68">
              <w:rPr>
                <w:rFonts w:eastAsia="Times New Roman" w:cs="Times New Roman"/>
                <w:b w:val="0"/>
                <w:bCs w:val="0"/>
                <w:kern w:val="0"/>
                <w:sz w:val="22"/>
                <w:szCs w:val="22"/>
                <w:lang w:eastAsia="en-US"/>
              </w:rPr>
              <w:t>Yearly km</w:t>
            </w:r>
          </w:p>
        </w:tc>
        <w:tc>
          <w:tcPr>
            <w:tcW w:w="1704" w:type="dxa"/>
            <w:hideMark/>
          </w:tcPr>
          <w:p w:rsidR="00D41F68" w:rsidRPr="00D41F68" w:rsidRDefault="00D41F68" w:rsidP="00D41F68">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19743</w:t>
            </w:r>
          </w:p>
        </w:tc>
        <w:tc>
          <w:tcPr>
            <w:tcW w:w="802" w:type="dxa"/>
            <w:hideMark/>
          </w:tcPr>
          <w:p w:rsidR="00D41F68" w:rsidRPr="00D41F68" w:rsidRDefault="00960321" w:rsidP="00D41F68">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19"/>
                <w:szCs w:val="19"/>
                <w:lang w:eastAsia="en-US"/>
              </w:rPr>
            </w:pPr>
            <w:r>
              <w:rPr>
                <w:rFonts w:eastAsia="Times New Roman" w:cs="Times New Roman"/>
                <w:kern w:val="0"/>
                <w:sz w:val="19"/>
                <w:szCs w:val="19"/>
                <w:lang w:eastAsia="en-US"/>
              </w:rPr>
              <w:t>16585</w:t>
            </w:r>
          </w:p>
        </w:tc>
        <w:tc>
          <w:tcPr>
            <w:tcW w:w="802" w:type="dxa"/>
            <w:hideMark/>
          </w:tcPr>
          <w:p w:rsidR="00D41F68" w:rsidRPr="00D41F68" w:rsidRDefault="00D41F68" w:rsidP="00D41F68">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17889</w:t>
            </w:r>
          </w:p>
        </w:tc>
        <w:tc>
          <w:tcPr>
            <w:tcW w:w="802" w:type="dxa"/>
            <w:hideMark/>
          </w:tcPr>
          <w:p w:rsidR="00D41F68" w:rsidRPr="00D41F68" w:rsidRDefault="00D41F68" w:rsidP="00D41F68">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20671</w:t>
            </w:r>
          </w:p>
        </w:tc>
        <w:tc>
          <w:tcPr>
            <w:tcW w:w="802" w:type="dxa"/>
            <w:hideMark/>
          </w:tcPr>
          <w:p w:rsidR="00D41F68" w:rsidRPr="00D41F68" w:rsidRDefault="00D41F68" w:rsidP="00D41F68">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19614</w:t>
            </w:r>
          </w:p>
        </w:tc>
        <w:tc>
          <w:tcPr>
            <w:tcW w:w="802" w:type="dxa"/>
            <w:hideMark/>
          </w:tcPr>
          <w:p w:rsidR="00D41F68" w:rsidRPr="00D41F68" w:rsidRDefault="00D41F68" w:rsidP="00D41F68">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19680</w:t>
            </w:r>
          </w:p>
        </w:tc>
        <w:tc>
          <w:tcPr>
            <w:tcW w:w="802" w:type="dxa"/>
            <w:hideMark/>
          </w:tcPr>
          <w:p w:rsidR="00D41F68" w:rsidRPr="00D41F68" w:rsidRDefault="00D41F68" w:rsidP="00D41F68">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19408</w:t>
            </w:r>
          </w:p>
        </w:tc>
        <w:tc>
          <w:tcPr>
            <w:tcW w:w="802" w:type="dxa"/>
            <w:hideMark/>
          </w:tcPr>
          <w:p w:rsidR="00D41F68" w:rsidRPr="00D41F68" w:rsidRDefault="00D41F68" w:rsidP="00D41F68">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16473</w:t>
            </w:r>
          </w:p>
        </w:tc>
        <w:tc>
          <w:tcPr>
            <w:tcW w:w="802" w:type="dxa"/>
            <w:hideMark/>
          </w:tcPr>
          <w:p w:rsidR="00D41F68" w:rsidRPr="00D41F68" w:rsidRDefault="00D41F68" w:rsidP="00D41F68">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16621</w:t>
            </w:r>
          </w:p>
        </w:tc>
        <w:tc>
          <w:tcPr>
            <w:tcW w:w="802" w:type="dxa"/>
            <w:hideMark/>
          </w:tcPr>
          <w:p w:rsidR="00D41F68" w:rsidRPr="00D41F68" w:rsidRDefault="00D41F68" w:rsidP="00D41F68">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16585</w:t>
            </w:r>
          </w:p>
        </w:tc>
        <w:tc>
          <w:tcPr>
            <w:tcW w:w="802" w:type="dxa"/>
            <w:hideMark/>
          </w:tcPr>
          <w:p w:rsidR="00D41F68" w:rsidRPr="00D41F68" w:rsidRDefault="00D41F68" w:rsidP="00D41F68">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16596</w:t>
            </w:r>
          </w:p>
        </w:tc>
        <w:tc>
          <w:tcPr>
            <w:tcW w:w="707" w:type="dxa"/>
            <w:hideMark/>
          </w:tcPr>
          <w:p w:rsidR="00D41F68" w:rsidRPr="00D41F68" w:rsidRDefault="00D41F68" w:rsidP="00D41F68">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16572</w:t>
            </w:r>
          </w:p>
        </w:tc>
        <w:tc>
          <w:tcPr>
            <w:tcW w:w="707" w:type="dxa"/>
            <w:hideMark/>
          </w:tcPr>
          <w:p w:rsidR="00D41F68" w:rsidRDefault="00D41F68" w:rsidP="00D41F68">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19"/>
                <w:szCs w:val="19"/>
                <w:lang w:eastAsia="en-US"/>
              </w:rPr>
            </w:pPr>
            <w:r w:rsidRPr="00D41F68">
              <w:rPr>
                <w:rFonts w:eastAsia="Times New Roman" w:cs="Times New Roman"/>
                <w:kern w:val="0"/>
                <w:sz w:val="19"/>
                <w:szCs w:val="19"/>
                <w:lang w:eastAsia="en-US"/>
              </w:rPr>
              <w:t>12417</w:t>
            </w:r>
          </w:p>
          <w:p w:rsidR="00960321" w:rsidRPr="00D41F68" w:rsidRDefault="00960321" w:rsidP="00D41F68">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19"/>
                <w:szCs w:val="19"/>
                <w:lang w:eastAsia="en-US"/>
              </w:rPr>
            </w:pPr>
            <w:r>
              <w:rPr>
                <w:rFonts w:eastAsia="Times New Roman" w:cs="Times New Roman"/>
                <w:kern w:val="0"/>
                <w:sz w:val="19"/>
                <w:szCs w:val="19"/>
                <w:lang w:eastAsia="en-US"/>
              </w:rPr>
              <w:t>miles</w:t>
            </w:r>
          </w:p>
        </w:tc>
      </w:tr>
      <w:tr w:rsidR="00202515" w:rsidRPr="00D41F68" w:rsidTr="0020251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18" w:type="dxa"/>
            <w:noWrap/>
            <w:hideMark/>
          </w:tcPr>
          <w:p w:rsidR="00D41F68" w:rsidRPr="00D41F68" w:rsidRDefault="00D41F68" w:rsidP="00D41F68">
            <w:pPr>
              <w:widowControl/>
              <w:suppressAutoHyphens w:val="0"/>
              <w:spacing w:line="240" w:lineRule="auto"/>
              <w:jc w:val="left"/>
              <w:rPr>
                <w:rFonts w:ascii="Arial" w:eastAsia="Times New Roman" w:hAnsi="Arial" w:cs="Arial"/>
                <w:b w:val="0"/>
                <w:bCs w:val="0"/>
                <w:kern w:val="0"/>
                <w:sz w:val="22"/>
                <w:szCs w:val="22"/>
                <w:lang w:eastAsia="en-US"/>
              </w:rPr>
            </w:pPr>
            <w:r w:rsidRPr="00D41F68">
              <w:rPr>
                <w:rFonts w:ascii="Arial" w:eastAsia="Times New Roman" w:hAnsi="Arial" w:cs="Arial"/>
                <w:b w:val="0"/>
                <w:bCs w:val="0"/>
                <w:kern w:val="0"/>
                <w:sz w:val="22"/>
                <w:szCs w:val="22"/>
                <w:lang w:eastAsia="en-US"/>
              </w:rPr>
              <w:t xml:space="preserve">Reduced vehicles (assumed </w:t>
            </w:r>
            <w:r w:rsidR="00202515">
              <w:rPr>
                <w:rFonts w:ascii="Arial" w:eastAsia="Times New Roman" w:hAnsi="Arial" w:cs="Arial"/>
                <w:b w:val="0"/>
                <w:bCs w:val="0"/>
                <w:kern w:val="0"/>
                <w:sz w:val="22"/>
                <w:szCs w:val="22"/>
                <w:lang w:eastAsia="en-US"/>
              </w:rPr>
              <w:t xml:space="preserve">ratio </w:t>
            </w:r>
            <w:r w:rsidRPr="00D41F68">
              <w:rPr>
                <w:rFonts w:ascii="Arial" w:eastAsia="Times New Roman" w:hAnsi="Arial" w:cs="Arial"/>
                <w:b w:val="0"/>
                <w:bCs w:val="0"/>
                <w:kern w:val="0"/>
                <w:sz w:val="22"/>
                <w:szCs w:val="22"/>
                <w:lang w:eastAsia="en-US"/>
              </w:rPr>
              <w:t>1:5)</w:t>
            </w:r>
          </w:p>
        </w:tc>
        <w:tc>
          <w:tcPr>
            <w:tcW w:w="1704" w:type="dxa"/>
            <w:noWrap/>
            <w:hideMark/>
          </w:tcPr>
          <w:p w:rsidR="00D41F68" w:rsidRPr="00D41F68" w:rsidRDefault="00D41F68" w:rsidP="00D41F68">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6"/>
                <w:szCs w:val="16"/>
                <w:lang w:eastAsia="en-US"/>
              </w:rPr>
            </w:pPr>
            <w:r w:rsidRPr="00D41F68">
              <w:rPr>
                <w:rFonts w:ascii="Arial" w:eastAsia="Times New Roman" w:hAnsi="Arial" w:cs="Arial"/>
                <w:kern w:val="0"/>
                <w:sz w:val="16"/>
                <w:szCs w:val="16"/>
                <w:lang w:eastAsia="en-US"/>
              </w:rPr>
              <w:t>143,008</w:t>
            </w:r>
          </w:p>
        </w:tc>
        <w:tc>
          <w:tcPr>
            <w:tcW w:w="802" w:type="dxa"/>
            <w:noWrap/>
            <w:hideMark/>
          </w:tcPr>
          <w:p w:rsidR="00960321" w:rsidRPr="00960321" w:rsidRDefault="00960321" w:rsidP="00960321">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6"/>
                <w:szCs w:val="16"/>
                <w:lang w:eastAsia="en-US"/>
              </w:rPr>
            </w:pPr>
            <w:r w:rsidRPr="00960321">
              <w:rPr>
                <w:rFonts w:ascii="Arial" w:eastAsia="Times New Roman" w:hAnsi="Arial" w:cs="Arial"/>
                <w:kern w:val="0"/>
                <w:sz w:val="16"/>
                <w:szCs w:val="16"/>
                <w:lang w:eastAsia="en-US"/>
              </w:rPr>
              <w:t>148,339</w:t>
            </w:r>
          </w:p>
          <w:p w:rsidR="00D41F68" w:rsidRPr="00D41F68" w:rsidRDefault="00D41F68" w:rsidP="00960321">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6"/>
                <w:szCs w:val="16"/>
                <w:lang w:eastAsia="en-US"/>
              </w:rPr>
            </w:pPr>
          </w:p>
        </w:tc>
        <w:tc>
          <w:tcPr>
            <w:tcW w:w="802" w:type="dxa"/>
            <w:noWrap/>
            <w:hideMark/>
          </w:tcPr>
          <w:p w:rsidR="00D41F68" w:rsidRPr="00D41F68" w:rsidRDefault="00D41F68" w:rsidP="00D41F68">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6"/>
                <w:szCs w:val="16"/>
                <w:lang w:eastAsia="en-US"/>
              </w:rPr>
            </w:pPr>
            <w:r w:rsidRPr="00D41F68">
              <w:rPr>
                <w:rFonts w:ascii="Arial" w:eastAsia="Times New Roman" w:hAnsi="Arial" w:cs="Arial"/>
                <w:kern w:val="0"/>
                <w:sz w:val="16"/>
                <w:szCs w:val="16"/>
                <w:lang w:eastAsia="en-US"/>
              </w:rPr>
              <w:t>145,264</w:t>
            </w:r>
          </w:p>
        </w:tc>
        <w:tc>
          <w:tcPr>
            <w:tcW w:w="802" w:type="dxa"/>
            <w:noWrap/>
            <w:hideMark/>
          </w:tcPr>
          <w:p w:rsidR="00D41F68" w:rsidRPr="00D41F68" w:rsidRDefault="00D41F68" w:rsidP="00D41F68">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6"/>
                <w:szCs w:val="16"/>
                <w:lang w:eastAsia="en-US"/>
              </w:rPr>
            </w:pPr>
            <w:r w:rsidRPr="00D41F68">
              <w:rPr>
                <w:rFonts w:ascii="Arial" w:eastAsia="Times New Roman" w:hAnsi="Arial" w:cs="Arial"/>
                <w:kern w:val="0"/>
                <w:sz w:val="16"/>
                <w:szCs w:val="16"/>
                <w:lang w:eastAsia="en-US"/>
              </w:rPr>
              <w:t>139,188</w:t>
            </w:r>
          </w:p>
        </w:tc>
        <w:tc>
          <w:tcPr>
            <w:tcW w:w="802" w:type="dxa"/>
            <w:noWrap/>
            <w:hideMark/>
          </w:tcPr>
          <w:p w:rsidR="00D41F68" w:rsidRPr="00D41F68" w:rsidRDefault="00D41F68" w:rsidP="00D41F68">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6"/>
                <w:szCs w:val="16"/>
                <w:lang w:eastAsia="en-US"/>
              </w:rPr>
            </w:pPr>
            <w:r w:rsidRPr="00D41F68">
              <w:rPr>
                <w:rFonts w:ascii="Arial" w:eastAsia="Times New Roman" w:hAnsi="Arial" w:cs="Arial"/>
                <w:kern w:val="0"/>
                <w:sz w:val="16"/>
                <w:szCs w:val="16"/>
                <w:lang w:eastAsia="en-US"/>
              </w:rPr>
              <w:t>206,573</w:t>
            </w:r>
          </w:p>
        </w:tc>
        <w:tc>
          <w:tcPr>
            <w:tcW w:w="802" w:type="dxa"/>
            <w:noWrap/>
            <w:hideMark/>
          </w:tcPr>
          <w:p w:rsidR="00D41F68" w:rsidRPr="00D41F68" w:rsidRDefault="00D41F68" w:rsidP="00D41F68">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6"/>
                <w:szCs w:val="16"/>
                <w:lang w:eastAsia="en-US"/>
              </w:rPr>
            </w:pPr>
            <w:r w:rsidRPr="00D41F68">
              <w:rPr>
                <w:rFonts w:ascii="Arial" w:eastAsia="Times New Roman" w:hAnsi="Arial" w:cs="Arial"/>
                <w:kern w:val="0"/>
                <w:sz w:val="16"/>
                <w:szCs w:val="16"/>
                <w:lang w:eastAsia="en-US"/>
              </w:rPr>
              <w:t>125,582</w:t>
            </w:r>
          </w:p>
        </w:tc>
        <w:tc>
          <w:tcPr>
            <w:tcW w:w="802" w:type="dxa"/>
            <w:noWrap/>
            <w:hideMark/>
          </w:tcPr>
          <w:p w:rsidR="00D41F68" w:rsidRPr="00D41F68" w:rsidRDefault="00D41F68" w:rsidP="00D41F68">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6"/>
                <w:szCs w:val="16"/>
                <w:lang w:eastAsia="en-US"/>
              </w:rPr>
            </w:pPr>
            <w:r w:rsidRPr="00D41F68">
              <w:rPr>
                <w:rFonts w:ascii="Arial" w:eastAsia="Times New Roman" w:hAnsi="Arial" w:cs="Arial"/>
                <w:kern w:val="0"/>
                <w:sz w:val="16"/>
                <w:szCs w:val="16"/>
                <w:lang w:eastAsia="en-US"/>
              </w:rPr>
              <w:t>130,407</w:t>
            </w:r>
          </w:p>
        </w:tc>
        <w:tc>
          <w:tcPr>
            <w:tcW w:w="802" w:type="dxa"/>
            <w:noWrap/>
            <w:hideMark/>
          </w:tcPr>
          <w:p w:rsidR="00D41F68" w:rsidRPr="00D41F68" w:rsidRDefault="00D41F68" w:rsidP="00D41F68">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6"/>
                <w:szCs w:val="16"/>
                <w:lang w:eastAsia="en-US"/>
              </w:rPr>
            </w:pPr>
            <w:r w:rsidRPr="00D41F68">
              <w:rPr>
                <w:rFonts w:ascii="Arial" w:eastAsia="Times New Roman" w:hAnsi="Arial" w:cs="Arial"/>
                <w:kern w:val="0"/>
                <w:sz w:val="16"/>
                <w:szCs w:val="16"/>
                <w:lang w:eastAsia="en-US"/>
              </w:rPr>
              <w:t>133,818</w:t>
            </w:r>
          </w:p>
        </w:tc>
        <w:tc>
          <w:tcPr>
            <w:tcW w:w="802" w:type="dxa"/>
            <w:noWrap/>
            <w:hideMark/>
          </w:tcPr>
          <w:p w:rsidR="00D41F68" w:rsidRPr="00D41F68" w:rsidRDefault="00D41F68" w:rsidP="00D41F68">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6"/>
                <w:szCs w:val="16"/>
                <w:lang w:eastAsia="en-US"/>
              </w:rPr>
            </w:pPr>
            <w:r w:rsidRPr="00D41F68">
              <w:rPr>
                <w:rFonts w:ascii="Arial" w:eastAsia="Times New Roman" w:hAnsi="Arial" w:cs="Arial"/>
                <w:kern w:val="0"/>
                <w:sz w:val="16"/>
                <w:szCs w:val="16"/>
                <w:lang w:eastAsia="en-US"/>
              </w:rPr>
              <w:t>98,906</w:t>
            </w:r>
          </w:p>
        </w:tc>
        <w:tc>
          <w:tcPr>
            <w:tcW w:w="802" w:type="dxa"/>
            <w:noWrap/>
            <w:hideMark/>
          </w:tcPr>
          <w:p w:rsidR="00D41F68" w:rsidRPr="00D41F68" w:rsidRDefault="00D41F68" w:rsidP="00D41F68">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6"/>
                <w:szCs w:val="16"/>
                <w:lang w:eastAsia="en-US"/>
              </w:rPr>
            </w:pPr>
            <w:r w:rsidRPr="00D41F68">
              <w:rPr>
                <w:rFonts w:ascii="Arial" w:eastAsia="Times New Roman" w:hAnsi="Arial" w:cs="Arial"/>
                <w:kern w:val="0"/>
                <w:sz w:val="16"/>
                <w:szCs w:val="16"/>
                <w:lang w:eastAsia="en-US"/>
              </w:rPr>
              <w:t>130,903</w:t>
            </w:r>
          </w:p>
        </w:tc>
        <w:tc>
          <w:tcPr>
            <w:tcW w:w="802" w:type="dxa"/>
            <w:noWrap/>
            <w:hideMark/>
          </w:tcPr>
          <w:p w:rsidR="00D41F68" w:rsidRPr="00D41F68" w:rsidRDefault="00D41F68" w:rsidP="00D41F68">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6"/>
                <w:szCs w:val="16"/>
                <w:lang w:eastAsia="en-US"/>
              </w:rPr>
            </w:pPr>
            <w:r w:rsidRPr="00D41F68">
              <w:rPr>
                <w:rFonts w:ascii="Arial" w:eastAsia="Times New Roman" w:hAnsi="Arial" w:cs="Arial"/>
                <w:kern w:val="0"/>
                <w:sz w:val="16"/>
                <w:szCs w:val="16"/>
                <w:lang w:eastAsia="en-US"/>
              </w:rPr>
              <w:t>76,093</w:t>
            </w:r>
          </w:p>
        </w:tc>
        <w:tc>
          <w:tcPr>
            <w:tcW w:w="707" w:type="dxa"/>
            <w:noWrap/>
            <w:hideMark/>
          </w:tcPr>
          <w:p w:rsidR="00D41F68" w:rsidRPr="00D41F68" w:rsidRDefault="00D41F68" w:rsidP="00D41F68">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6"/>
                <w:szCs w:val="16"/>
                <w:lang w:eastAsia="en-US"/>
              </w:rPr>
            </w:pPr>
            <w:r w:rsidRPr="00D41F68">
              <w:rPr>
                <w:rFonts w:ascii="Arial" w:eastAsia="Times New Roman" w:hAnsi="Arial" w:cs="Arial"/>
                <w:kern w:val="0"/>
                <w:sz w:val="16"/>
                <w:szCs w:val="16"/>
                <w:lang w:eastAsia="en-US"/>
              </w:rPr>
              <w:t>49,420</w:t>
            </w:r>
          </w:p>
        </w:tc>
        <w:tc>
          <w:tcPr>
            <w:tcW w:w="707" w:type="dxa"/>
            <w:noWrap/>
            <w:hideMark/>
          </w:tcPr>
          <w:p w:rsidR="00D41F68" w:rsidRPr="00D41F68" w:rsidRDefault="00D41F68" w:rsidP="00D41F68">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6"/>
                <w:szCs w:val="16"/>
                <w:lang w:eastAsia="en-US"/>
              </w:rPr>
            </w:pPr>
          </w:p>
        </w:tc>
      </w:tr>
    </w:tbl>
    <w:p w:rsidR="00095F5A" w:rsidRDefault="00095F5A">
      <w:pPr>
        <w:widowControl/>
        <w:suppressAutoHyphens w:val="0"/>
        <w:spacing w:line="240" w:lineRule="auto"/>
        <w:jc w:val="left"/>
      </w:pPr>
    </w:p>
    <w:p w:rsidR="00D41F68" w:rsidRDefault="005C30BE" w:rsidP="00AF3280">
      <w:pPr>
        <w:pStyle w:val="Heading1"/>
      </w:pPr>
      <w:bookmarkStart w:id="14" w:name="_Toc263943207"/>
      <w:r>
        <w:lastRenderedPageBreak/>
        <w:t xml:space="preserve">Appendix 2: </w:t>
      </w:r>
      <w:r w:rsidR="00AF3280">
        <w:t>International Carsharing Price Comparison</w:t>
      </w:r>
      <w:bookmarkEnd w:id="14"/>
    </w:p>
    <w:p w:rsidR="00AF3280" w:rsidRDefault="00AF3280">
      <w:pPr>
        <w:widowControl/>
        <w:suppressAutoHyphens w:val="0"/>
        <w:spacing w:line="240" w:lineRule="auto"/>
        <w:jc w:val="left"/>
      </w:pPr>
    </w:p>
    <w:tbl>
      <w:tblPr>
        <w:tblStyle w:val="LightShading-Accent11"/>
        <w:tblW w:w="5000" w:type="pct"/>
        <w:tblLook w:val="04A0" w:firstRow="1" w:lastRow="0" w:firstColumn="1" w:lastColumn="0" w:noHBand="0" w:noVBand="1"/>
      </w:tblPr>
      <w:tblGrid>
        <w:gridCol w:w="1617"/>
        <w:gridCol w:w="1834"/>
        <w:gridCol w:w="1095"/>
        <w:gridCol w:w="650"/>
        <w:gridCol w:w="983"/>
        <w:gridCol w:w="939"/>
        <w:gridCol w:w="683"/>
        <w:gridCol w:w="717"/>
        <w:gridCol w:w="683"/>
        <w:gridCol w:w="606"/>
        <w:gridCol w:w="3981"/>
      </w:tblGrid>
      <w:tr w:rsidR="00AF3280" w:rsidRPr="00AF3280" w:rsidTr="00AF328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34" w:type="pct"/>
            <w:hideMark/>
          </w:tcPr>
          <w:p w:rsidR="00AF3280" w:rsidRPr="00AF3280" w:rsidRDefault="00AF3280" w:rsidP="00AA4F47">
            <w:pPr>
              <w:widowControl/>
              <w:suppressAutoHyphens w:val="0"/>
              <w:spacing w:line="240" w:lineRule="auto"/>
              <w:jc w:val="left"/>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Company</w:t>
            </w:r>
          </w:p>
        </w:tc>
        <w:tc>
          <w:tcPr>
            <w:tcW w:w="356" w:type="pct"/>
            <w:hideMark/>
          </w:tcPr>
          <w:p w:rsidR="00AF3280" w:rsidRPr="00AF3280" w:rsidRDefault="00AF3280" w:rsidP="00AA4F47">
            <w:pPr>
              <w:widowControl/>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Pr>
                <w:rFonts w:ascii="Arial" w:eastAsia="Times New Roman" w:hAnsi="Arial" w:cs="Arial"/>
                <w:kern w:val="0"/>
                <w:sz w:val="20"/>
                <w:szCs w:val="20"/>
                <w:lang w:eastAsia="en-US"/>
              </w:rPr>
              <w:t>Location</w:t>
            </w:r>
          </w:p>
        </w:tc>
        <w:tc>
          <w:tcPr>
            <w:tcW w:w="304" w:type="pct"/>
            <w:hideMark/>
          </w:tcPr>
          <w:p w:rsidR="00AF3280" w:rsidRPr="00AF3280" w:rsidRDefault="00AF3280" w:rsidP="00AA4F47">
            <w:pPr>
              <w:widowControl/>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Currency</w:t>
            </w:r>
          </w:p>
        </w:tc>
        <w:tc>
          <w:tcPr>
            <w:tcW w:w="242" w:type="pct"/>
            <w:hideMark/>
          </w:tcPr>
          <w:p w:rsidR="00AF3280" w:rsidRPr="00AF3280" w:rsidRDefault="00AF3280" w:rsidP="00AA4F47">
            <w:pPr>
              <w:widowControl/>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Rate</w:t>
            </w:r>
          </w:p>
        </w:tc>
        <w:tc>
          <w:tcPr>
            <w:tcW w:w="264" w:type="pct"/>
            <w:hideMark/>
          </w:tcPr>
          <w:p w:rsidR="00AF3280" w:rsidRPr="00AF3280" w:rsidRDefault="00AF3280" w:rsidP="00AA4F47">
            <w:pPr>
              <w:widowControl/>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Monthly Fixed Cost</w:t>
            </w:r>
          </w:p>
        </w:tc>
        <w:tc>
          <w:tcPr>
            <w:tcW w:w="252" w:type="pct"/>
            <w:hideMark/>
          </w:tcPr>
          <w:p w:rsidR="00AF3280" w:rsidRPr="00AF3280" w:rsidRDefault="00AF3280" w:rsidP="00AA4F47">
            <w:pPr>
              <w:widowControl/>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Fixed Cost</w:t>
            </w:r>
          </w:p>
        </w:tc>
        <w:tc>
          <w:tcPr>
            <w:tcW w:w="183" w:type="pct"/>
            <w:hideMark/>
          </w:tcPr>
          <w:p w:rsidR="00AF3280" w:rsidRPr="00AF3280" w:rsidRDefault="00AF3280" w:rsidP="00AA4F47">
            <w:pPr>
              <w:widowControl/>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Hour</w:t>
            </w:r>
          </w:p>
        </w:tc>
        <w:tc>
          <w:tcPr>
            <w:tcW w:w="192" w:type="pct"/>
            <w:hideMark/>
          </w:tcPr>
          <w:p w:rsidR="00AF3280" w:rsidRPr="00AF3280" w:rsidRDefault="00AF3280" w:rsidP="00AA4F47">
            <w:pPr>
              <w:widowControl/>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day</w:t>
            </w:r>
          </w:p>
        </w:tc>
        <w:tc>
          <w:tcPr>
            <w:tcW w:w="198" w:type="pct"/>
            <w:hideMark/>
          </w:tcPr>
          <w:p w:rsidR="00AF3280" w:rsidRPr="00AF3280" w:rsidRDefault="00AF3280" w:rsidP="00AA4F47">
            <w:pPr>
              <w:widowControl/>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km</w:t>
            </w:r>
          </w:p>
        </w:tc>
        <w:tc>
          <w:tcPr>
            <w:tcW w:w="223" w:type="pct"/>
            <w:hideMark/>
          </w:tcPr>
          <w:p w:rsidR="00AF3280" w:rsidRPr="00AF3280" w:rsidRDefault="00AF3280" w:rsidP="00AA4F47">
            <w:pPr>
              <w:widowControl/>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km &gt; 100</w:t>
            </w:r>
          </w:p>
        </w:tc>
        <w:tc>
          <w:tcPr>
            <w:tcW w:w="2352" w:type="pct"/>
            <w:hideMark/>
          </w:tcPr>
          <w:p w:rsidR="00AF3280" w:rsidRPr="00AF3280" w:rsidRDefault="00AF3280" w:rsidP="00AA4F47">
            <w:pPr>
              <w:widowControl/>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val="de-CH" w:eastAsia="en-US"/>
              </w:rPr>
            </w:pPr>
            <w:r w:rsidRPr="00AF3280">
              <w:rPr>
                <w:rFonts w:ascii="Arial" w:eastAsia="Times New Roman" w:hAnsi="Arial" w:cs="Arial"/>
                <w:kern w:val="0"/>
                <w:sz w:val="20"/>
                <w:szCs w:val="20"/>
                <w:lang w:eastAsia="en-US"/>
              </w:rPr>
              <w:t>URL:</w:t>
            </w:r>
            <w:r>
              <w:rPr>
                <w:rFonts w:ascii="Arial" w:eastAsia="Times New Roman" w:hAnsi="Arial" w:cs="Arial"/>
                <w:kern w:val="0"/>
                <w:sz w:val="20"/>
                <w:szCs w:val="20"/>
                <w:lang w:eastAsia="en-US"/>
              </w:rPr>
              <w:t xml:space="preserve"> </w:t>
            </w:r>
            <w:r>
              <w:rPr>
                <w:rFonts w:ascii="Arial" w:eastAsia="Times New Roman" w:hAnsi="Arial" w:cs="Arial" w:hint="cs"/>
                <w:kern w:val="0"/>
                <w:sz w:val="20"/>
                <w:szCs w:val="20"/>
                <w:rtl/>
                <w:lang w:eastAsia="en-US"/>
              </w:rPr>
              <w:t>)</w:t>
            </w:r>
            <w:r>
              <w:rPr>
                <w:rFonts w:ascii="Arial" w:eastAsia="Times New Roman" w:hAnsi="Arial" w:cs="Arial"/>
                <w:kern w:val="0"/>
                <w:sz w:val="20"/>
                <w:szCs w:val="20"/>
                <w:lang w:val="de-CH" w:eastAsia="en-US"/>
              </w:rPr>
              <w:t>accessed 15.3.2010)</w:t>
            </w:r>
          </w:p>
        </w:tc>
      </w:tr>
      <w:tr w:rsidR="00AF3280" w:rsidRPr="00AF3280" w:rsidTr="00AF328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34" w:type="pct"/>
            <w:hideMark/>
          </w:tcPr>
          <w:p w:rsidR="00AF3280" w:rsidRPr="00AF3280" w:rsidRDefault="00AF3280" w:rsidP="00AA4F47">
            <w:pPr>
              <w:widowControl/>
              <w:suppressAutoHyphens w:val="0"/>
              <w:spacing w:line="240" w:lineRule="auto"/>
              <w:jc w:val="left"/>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Hertz Connect - Berlin</w:t>
            </w:r>
          </w:p>
        </w:tc>
        <w:tc>
          <w:tcPr>
            <w:tcW w:w="356" w:type="pct"/>
            <w:hideMark/>
          </w:tcPr>
          <w:p w:rsidR="00AF3280" w:rsidRPr="00AF3280" w:rsidRDefault="00AF3280" w:rsidP="00AA4F47">
            <w:pPr>
              <w:widowControl/>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Berlin</w:t>
            </w:r>
          </w:p>
        </w:tc>
        <w:tc>
          <w:tcPr>
            <w:tcW w:w="304" w:type="pct"/>
            <w:hideMark/>
          </w:tcPr>
          <w:p w:rsidR="00AF3280" w:rsidRPr="00AF3280" w:rsidRDefault="00AF3280" w:rsidP="00AA4F47">
            <w:pPr>
              <w:widowControl/>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EUR</w:t>
            </w:r>
          </w:p>
        </w:tc>
        <w:tc>
          <w:tcPr>
            <w:tcW w:w="242" w:type="pct"/>
            <w:hideMark/>
          </w:tcPr>
          <w:p w:rsidR="00AF3280" w:rsidRPr="00AF3280" w:rsidRDefault="00AF3280" w:rsidP="00AA4F47">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5.12</w:t>
            </w:r>
          </w:p>
        </w:tc>
        <w:tc>
          <w:tcPr>
            <w:tcW w:w="264" w:type="pct"/>
            <w:hideMark/>
          </w:tcPr>
          <w:p w:rsidR="00AF3280" w:rsidRPr="00AF3280" w:rsidRDefault="00AF3280" w:rsidP="00AA4F47">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32.00</w:t>
            </w:r>
          </w:p>
        </w:tc>
        <w:tc>
          <w:tcPr>
            <w:tcW w:w="252" w:type="pct"/>
            <w:hideMark/>
          </w:tcPr>
          <w:p w:rsidR="00AF3280" w:rsidRPr="00AF3280" w:rsidRDefault="00AF3280" w:rsidP="00AA4F47">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75.00</w:t>
            </w:r>
          </w:p>
        </w:tc>
        <w:tc>
          <w:tcPr>
            <w:tcW w:w="183" w:type="pct"/>
            <w:hideMark/>
          </w:tcPr>
          <w:p w:rsidR="00AF3280" w:rsidRPr="00AF3280" w:rsidRDefault="00AF3280" w:rsidP="00AA4F47">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4.00</w:t>
            </w:r>
          </w:p>
        </w:tc>
        <w:tc>
          <w:tcPr>
            <w:tcW w:w="192" w:type="pct"/>
            <w:hideMark/>
          </w:tcPr>
          <w:p w:rsidR="00AF3280" w:rsidRPr="00AF3280" w:rsidRDefault="00AF3280" w:rsidP="00AA4F47">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32.00</w:t>
            </w:r>
          </w:p>
        </w:tc>
        <w:tc>
          <w:tcPr>
            <w:tcW w:w="198" w:type="pct"/>
            <w:hideMark/>
          </w:tcPr>
          <w:p w:rsidR="00AF3280" w:rsidRPr="00AF3280" w:rsidRDefault="00AF3280" w:rsidP="00AA4F47">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0.17</w:t>
            </w:r>
          </w:p>
        </w:tc>
        <w:tc>
          <w:tcPr>
            <w:tcW w:w="223" w:type="pct"/>
            <w:hideMark/>
          </w:tcPr>
          <w:p w:rsidR="00AF3280" w:rsidRPr="00AF3280" w:rsidRDefault="00AF3280" w:rsidP="00AA4F47">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0.17</w:t>
            </w:r>
          </w:p>
        </w:tc>
        <w:tc>
          <w:tcPr>
            <w:tcW w:w="2352" w:type="pct"/>
            <w:hideMark/>
          </w:tcPr>
          <w:p w:rsidR="00AF3280" w:rsidRPr="00AF3280" w:rsidRDefault="00C64E65" w:rsidP="00AF3280">
            <w:pPr>
              <w:widowControl/>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hyperlink r:id="rId31" w:history="1">
              <w:r w:rsidR="00AF3280" w:rsidRPr="00976EDA">
                <w:rPr>
                  <w:rStyle w:val="Hyperlink"/>
                  <w:rFonts w:ascii="Arial" w:eastAsia="Times New Roman" w:hAnsi="Arial" w:cs="Arial"/>
                  <w:kern w:val="0"/>
                  <w:sz w:val="20"/>
                  <w:szCs w:val="20"/>
                  <w:lang w:eastAsia="en-US"/>
                </w:rPr>
                <w:t>http://www.connectbyhertz.com</w:t>
              </w:r>
            </w:hyperlink>
          </w:p>
        </w:tc>
      </w:tr>
      <w:tr w:rsidR="00AF3280" w:rsidRPr="00AF3280" w:rsidTr="00AF3280">
        <w:trPr>
          <w:trHeight w:val="255"/>
        </w:trPr>
        <w:tc>
          <w:tcPr>
            <w:cnfStyle w:val="001000000000" w:firstRow="0" w:lastRow="0" w:firstColumn="1" w:lastColumn="0" w:oddVBand="0" w:evenVBand="0" w:oddHBand="0" w:evenHBand="0" w:firstRowFirstColumn="0" w:firstRowLastColumn="0" w:lastRowFirstColumn="0" w:lastRowLastColumn="0"/>
            <w:tcW w:w="434" w:type="pct"/>
            <w:hideMark/>
          </w:tcPr>
          <w:p w:rsidR="00AF3280" w:rsidRPr="00AF3280" w:rsidRDefault="00AF3280" w:rsidP="00AA4F47">
            <w:pPr>
              <w:widowControl/>
              <w:suppressAutoHyphens w:val="0"/>
              <w:spacing w:line="240" w:lineRule="auto"/>
              <w:jc w:val="left"/>
              <w:rPr>
                <w:rFonts w:ascii="Arial" w:eastAsia="Times New Roman" w:hAnsi="Arial" w:cs="Arial"/>
                <w:kern w:val="0"/>
                <w:sz w:val="20"/>
                <w:szCs w:val="20"/>
                <w:lang w:eastAsia="en-US"/>
              </w:rPr>
            </w:pPr>
            <w:proofErr w:type="spellStart"/>
            <w:r w:rsidRPr="00AF3280">
              <w:rPr>
                <w:rFonts w:ascii="Arial" w:eastAsia="Times New Roman" w:hAnsi="Arial" w:cs="Arial"/>
                <w:kern w:val="0"/>
                <w:sz w:val="20"/>
                <w:szCs w:val="20"/>
                <w:lang w:eastAsia="en-US"/>
              </w:rPr>
              <w:t>eGo</w:t>
            </w:r>
            <w:proofErr w:type="spellEnd"/>
            <w:r w:rsidRPr="00AF3280">
              <w:rPr>
                <w:rFonts w:ascii="Arial" w:eastAsia="Times New Roman" w:hAnsi="Arial" w:cs="Arial"/>
                <w:kern w:val="0"/>
                <w:sz w:val="20"/>
                <w:szCs w:val="20"/>
                <w:lang w:eastAsia="en-US"/>
              </w:rPr>
              <w:t xml:space="preserve"> </w:t>
            </w:r>
            <w:proofErr w:type="spellStart"/>
            <w:r w:rsidRPr="00AF3280">
              <w:rPr>
                <w:rFonts w:ascii="Arial" w:eastAsia="Times New Roman" w:hAnsi="Arial" w:cs="Arial"/>
                <w:kern w:val="0"/>
                <w:sz w:val="20"/>
                <w:szCs w:val="20"/>
                <w:lang w:eastAsia="en-US"/>
              </w:rPr>
              <w:t>carshare</w:t>
            </w:r>
            <w:proofErr w:type="spellEnd"/>
          </w:p>
        </w:tc>
        <w:tc>
          <w:tcPr>
            <w:tcW w:w="356" w:type="pct"/>
            <w:hideMark/>
          </w:tcPr>
          <w:p w:rsidR="00AF3280" w:rsidRPr="00AF3280" w:rsidRDefault="00AF3280" w:rsidP="00AA4F47">
            <w:pPr>
              <w:widowControl/>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Denver</w:t>
            </w:r>
          </w:p>
        </w:tc>
        <w:tc>
          <w:tcPr>
            <w:tcW w:w="304" w:type="pct"/>
            <w:hideMark/>
          </w:tcPr>
          <w:p w:rsidR="00AF3280" w:rsidRPr="00AF3280" w:rsidRDefault="00AF3280" w:rsidP="00AA4F47">
            <w:pPr>
              <w:widowControl/>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USD</w:t>
            </w:r>
          </w:p>
        </w:tc>
        <w:tc>
          <w:tcPr>
            <w:tcW w:w="242" w:type="pct"/>
            <w:hideMark/>
          </w:tcPr>
          <w:p w:rsidR="00AF3280" w:rsidRPr="00AF3280" w:rsidRDefault="00AF3280" w:rsidP="00AA4F47">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3.79</w:t>
            </w:r>
          </w:p>
        </w:tc>
        <w:tc>
          <w:tcPr>
            <w:tcW w:w="264" w:type="pct"/>
            <w:hideMark/>
          </w:tcPr>
          <w:p w:rsidR="00AF3280" w:rsidRPr="00AF3280" w:rsidRDefault="00AF3280" w:rsidP="00AA4F47">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37.90</w:t>
            </w:r>
          </w:p>
        </w:tc>
        <w:tc>
          <w:tcPr>
            <w:tcW w:w="252" w:type="pct"/>
            <w:hideMark/>
          </w:tcPr>
          <w:p w:rsidR="00AF3280" w:rsidRPr="00AF3280" w:rsidRDefault="00AF3280" w:rsidP="00AA4F47">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120.00</w:t>
            </w:r>
          </w:p>
        </w:tc>
        <w:tc>
          <w:tcPr>
            <w:tcW w:w="183" w:type="pct"/>
            <w:hideMark/>
          </w:tcPr>
          <w:p w:rsidR="00AF3280" w:rsidRPr="00AF3280" w:rsidRDefault="00AF3280" w:rsidP="00AA4F47">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2.50</w:t>
            </w:r>
          </w:p>
        </w:tc>
        <w:tc>
          <w:tcPr>
            <w:tcW w:w="192" w:type="pct"/>
            <w:hideMark/>
          </w:tcPr>
          <w:p w:rsidR="00AF3280" w:rsidRPr="00AF3280" w:rsidRDefault="00AF3280" w:rsidP="00AA4F47">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49.00</w:t>
            </w:r>
          </w:p>
        </w:tc>
        <w:tc>
          <w:tcPr>
            <w:tcW w:w="198" w:type="pct"/>
            <w:hideMark/>
          </w:tcPr>
          <w:p w:rsidR="00AF3280" w:rsidRPr="00AF3280" w:rsidRDefault="00AF3280" w:rsidP="00AA4F47">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0.19</w:t>
            </w:r>
          </w:p>
        </w:tc>
        <w:tc>
          <w:tcPr>
            <w:tcW w:w="223" w:type="pct"/>
            <w:noWrap/>
            <w:hideMark/>
          </w:tcPr>
          <w:p w:rsidR="00AF3280" w:rsidRPr="00AF3280" w:rsidRDefault="00AF3280" w:rsidP="00AA4F47">
            <w:pPr>
              <w:widowControl/>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p>
        </w:tc>
        <w:tc>
          <w:tcPr>
            <w:tcW w:w="2352" w:type="pct"/>
            <w:hideMark/>
          </w:tcPr>
          <w:p w:rsidR="00AF3280" w:rsidRPr="00AF3280" w:rsidRDefault="00C64E65" w:rsidP="00AA4F47">
            <w:pPr>
              <w:widowControl/>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hyperlink r:id="rId32" w:history="1">
              <w:r w:rsidR="00AF3280" w:rsidRPr="00976EDA">
                <w:rPr>
                  <w:rStyle w:val="Hyperlink"/>
                  <w:rFonts w:ascii="Arial" w:eastAsia="Times New Roman" w:hAnsi="Arial" w:cs="Arial"/>
                  <w:kern w:val="0"/>
                  <w:sz w:val="20"/>
                  <w:szCs w:val="20"/>
                  <w:lang w:eastAsia="en-US"/>
                </w:rPr>
                <w:t>http://carshare.org/rates</w:t>
              </w:r>
            </w:hyperlink>
          </w:p>
        </w:tc>
      </w:tr>
      <w:tr w:rsidR="00AF3280" w:rsidRPr="00AF3280" w:rsidTr="00AF328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34" w:type="pct"/>
            <w:hideMark/>
          </w:tcPr>
          <w:p w:rsidR="00AF3280" w:rsidRPr="00AF3280" w:rsidRDefault="00AF3280" w:rsidP="00AA4F47">
            <w:pPr>
              <w:widowControl/>
              <w:suppressAutoHyphens w:val="0"/>
              <w:spacing w:line="240" w:lineRule="auto"/>
              <w:jc w:val="left"/>
              <w:rPr>
                <w:rFonts w:ascii="Arial" w:eastAsia="Times New Roman" w:hAnsi="Arial" w:cs="Arial"/>
                <w:kern w:val="0"/>
                <w:sz w:val="20"/>
                <w:szCs w:val="20"/>
                <w:lang w:eastAsia="en-US"/>
              </w:rPr>
            </w:pPr>
            <w:proofErr w:type="spellStart"/>
            <w:r w:rsidRPr="00AF3280">
              <w:rPr>
                <w:rFonts w:ascii="Arial" w:eastAsia="Times New Roman" w:hAnsi="Arial" w:cs="Arial"/>
                <w:kern w:val="0"/>
                <w:sz w:val="20"/>
                <w:szCs w:val="20"/>
                <w:lang w:eastAsia="en-US"/>
              </w:rPr>
              <w:t>PhillyCarshare</w:t>
            </w:r>
            <w:proofErr w:type="spellEnd"/>
          </w:p>
        </w:tc>
        <w:tc>
          <w:tcPr>
            <w:tcW w:w="356" w:type="pct"/>
            <w:hideMark/>
          </w:tcPr>
          <w:p w:rsidR="00AF3280" w:rsidRPr="00AF3280" w:rsidRDefault="00AF3280" w:rsidP="00AA4F47">
            <w:pPr>
              <w:widowControl/>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Philadelphia</w:t>
            </w:r>
          </w:p>
        </w:tc>
        <w:tc>
          <w:tcPr>
            <w:tcW w:w="304" w:type="pct"/>
            <w:hideMark/>
          </w:tcPr>
          <w:p w:rsidR="00AF3280" w:rsidRPr="00AF3280" w:rsidRDefault="00AF3280" w:rsidP="00AA4F47">
            <w:pPr>
              <w:widowControl/>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USD</w:t>
            </w:r>
          </w:p>
        </w:tc>
        <w:tc>
          <w:tcPr>
            <w:tcW w:w="242" w:type="pct"/>
            <w:hideMark/>
          </w:tcPr>
          <w:p w:rsidR="00AF3280" w:rsidRPr="00AF3280" w:rsidRDefault="00AF3280" w:rsidP="00AA4F47">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3.79</w:t>
            </w:r>
          </w:p>
        </w:tc>
        <w:tc>
          <w:tcPr>
            <w:tcW w:w="264" w:type="pct"/>
            <w:hideMark/>
          </w:tcPr>
          <w:p w:rsidR="00AF3280" w:rsidRPr="00AF3280" w:rsidRDefault="00AF3280" w:rsidP="00AA4F47">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39.48</w:t>
            </w:r>
          </w:p>
        </w:tc>
        <w:tc>
          <w:tcPr>
            <w:tcW w:w="252" w:type="pct"/>
            <w:hideMark/>
          </w:tcPr>
          <w:p w:rsidR="00AF3280" w:rsidRPr="00AF3280" w:rsidRDefault="00AF3280" w:rsidP="00AA4F47">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125.00</w:t>
            </w:r>
          </w:p>
        </w:tc>
        <w:tc>
          <w:tcPr>
            <w:tcW w:w="183" w:type="pct"/>
            <w:hideMark/>
          </w:tcPr>
          <w:p w:rsidR="00AF3280" w:rsidRPr="00AF3280" w:rsidRDefault="00AF3280" w:rsidP="00AA4F47">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3.45</w:t>
            </w:r>
          </w:p>
        </w:tc>
        <w:tc>
          <w:tcPr>
            <w:tcW w:w="192" w:type="pct"/>
            <w:hideMark/>
          </w:tcPr>
          <w:p w:rsidR="00AF3280" w:rsidRPr="00AF3280" w:rsidRDefault="00AF3280" w:rsidP="00AA4F47">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39.00</w:t>
            </w:r>
          </w:p>
        </w:tc>
        <w:tc>
          <w:tcPr>
            <w:tcW w:w="198" w:type="pct"/>
            <w:hideMark/>
          </w:tcPr>
          <w:p w:rsidR="00AF3280" w:rsidRPr="00AF3280" w:rsidRDefault="00AF3280" w:rsidP="00AA4F47">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0.16</w:t>
            </w:r>
          </w:p>
        </w:tc>
        <w:tc>
          <w:tcPr>
            <w:tcW w:w="223" w:type="pct"/>
            <w:noWrap/>
            <w:hideMark/>
          </w:tcPr>
          <w:p w:rsidR="00AF3280" w:rsidRPr="00AF3280" w:rsidRDefault="00AF3280" w:rsidP="00AA4F47">
            <w:pPr>
              <w:widowControl/>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p>
        </w:tc>
        <w:tc>
          <w:tcPr>
            <w:tcW w:w="2352" w:type="pct"/>
            <w:noWrap/>
            <w:hideMark/>
          </w:tcPr>
          <w:p w:rsidR="00AF3280" w:rsidRPr="00AF3280" w:rsidRDefault="00AF3280" w:rsidP="00AA4F47">
            <w:pPr>
              <w:widowControl/>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http://www.phillycarshare.org/</w:t>
            </w:r>
          </w:p>
        </w:tc>
      </w:tr>
      <w:tr w:rsidR="00AF3280" w:rsidRPr="00AF3280" w:rsidTr="00AF3280">
        <w:trPr>
          <w:trHeight w:val="255"/>
        </w:trPr>
        <w:tc>
          <w:tcPr>
            <w:cnfStyle w:val="001000000000" w:firstRow="0" w:lastRow="0" w:firstColumn="1" w:lastColumn="0" w:oddVBand="0" w:evenVBand="0" w:oddHBand="0" w:evenHBand="0" w:firstRowFirstColumn="0" w:firstRowLastColumn="0" w:lastRowFirstColumn="0" w:lastRowLastColumn="0"/>
            <w:tcW w:w="434" w:type="pct"/>
            <w:hideMark/>
          </w:tcPr>
          <w:p w:rsidR="00AF3280" w:rsidRPr="00AF3280" w:rsidRDefault="00AF3280" w:rsidP="00AA4F47">
            <w:pPr>
              <w:widowControl/>
              <w:suppressAutoHyphens w:val="0"/>
              <w:spacing w:line="240" w:lineRule="auto"/>
              <w:jc w:val="left"/>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Hertz Connect - Paris</w:t>
            </w:r>
          </w:p>
        </w:tc>
        <w:tc>
          <w:tcPr>
            <w:tcW w:w="356" w:type="pct"/>
            <w:hideMark/>
          </w:tcPr>
          <w:p w:rsidR="00AF3280" w:rsidRPr="00AF3280" w:rsidRDefault="00AF3280" w:rsidP="00AA4F47">
            <w:pPr>
              <w:widowControl/>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Paris</w:t>
            </w:r>
          </w:p>
        </w:tc>
        <w:tc>
          <w:tcPr>
            <w:tcW w:w="304" w:type="pct"/>
            <w:hideMark/>
          </w:tcPr>
          <w:p w:rsidR="00AF3280" w:rsidRPr="00AF3280" w:rsidRDefault="00AF3280" w:rsidP="00AA4F47">
            <w:pPr>
              <w:widowControl/>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EUR</w:t>
            </w:r>
          </w:p>
        </w:tc>
        <w:tc>
          <w:tcPr>
            <w:tcW w:w="242" w:type="pct"/>
            <w:hideMark/>
          </w:tcPr>
          <w:p w:rsidR="00AF3280" w:rsidRPr="00AF3280" w:rsidRDefault="00AF3280" w:rsidP="00AA4F47">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5.12</w:t>
            </w:r>
          </w:p>
        </w:tc>
        <w:tc>
          <w:tcPr>
            <w:tcW w:w="264" w:type="pct"/>
            <w:hideMark/>
          </w:tcPr>
          <w:p w:rsidR="00AF3280" w:rsidRPr="00AF3280" w:rsidRDefault="00AF3280" w:rsidP="00AA4F47">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51.20</w:t>
            </w:r>
          </w:p>
        </w:tc>
        <w:tc>
          <w:tcPr>
            <w:tcW w:w="252" w:type="pct"/>
            <w:hideMark/>
          </w:tcPr>
          <w:p w:rsidR="00AF3280" w:rsidRPr="00AF3280" w:rsidRDefault="00AF3280" w:rsidP="00AA4F47">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120.00</w:t>
            </w:r>
          </w:p>
        </w:tc>
        <w:tc>
          <w:tcPr>
            <w:tcW w:w="183" w:type="pct"/>
            <w:hideMark/>
          </w:tcPr>
          <w:p w:rsidR="00AF3280" w:rsidRPr="00AF3280" w:rsidRDefault="00AF3280" w:rsidP="00AA4F47">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4.00</w:t>
            </w:r>
          </w:p>
        </w:tc>
        <w:tc>
          <w:tcPr>
            <w:tcW w:w="192" w:type="pct"/>
            <w:hideMark/>
          </w:tcPr>
          <w:p w:rsidR="00AF3280" w:rsidRPr="00AF3280" w:rsidRDefault="00AF3280" w:rsidP="00AA4F47">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32.00</w:t>
            </w:r>
          </w:p>
        </w:tc>
        <w:tc>
          <w:tcPr>
            <w:tcW w:w="198" w:type="pct"/>
            <w:hideMark/>
          </w:tcPr>
          <w:p w:rsidR="00AF3280" w:rsidRPr="00AF3280" w:rsidRDefault="00AF3280" w:rsidP="00AA4F47">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0.35</w:t>
            </w:r>
          </w:p>
        </w:tc>
        <w:tc>
          <w:tcPr>
            <w:tcW w:w="223" w:type="pct"/>
            <w:hideMark/>
          </w:tcPr>
          <w:p w:rsidR="00AF3280" w:rsidRPr="00AF3280" w:rsidRDefault="00AF3280" w:rsidP="00AA4F47">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0.35</w:t>
            </w:r>
          </w:p>
        </w:tc>
        <w:tc>
          <w:tcPr>
            <w:tcW w:w="2352" w:type="pct"/>
            <w:hideMark/>
          </w:tcPr>
          <w:p w:rsidR="00AF3280" w:rsidRPr="00AF3280" w:rsidRDefault="00AF3280" w:rsidP="00AF3280">
            <w:pPr>
              <w:widowControl/>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http://www.connectbyhertz.com/</w:t>
            </w:r>
          </w:p>
        </w:tc>
      </w:tr>
      <w:tr w:rsidR="00AF3280" w:rsidRPr="00AF3280" w:rsidTr="00AF328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34" w:type="pct"/>
            <w:hideMark/>
          </w:tcPr>
          <w:p w:rsidR="00AF3280" w:rsidRPr="00AF3280" w:rsidRDefault="00AF3280" w:rsidP="00AA4F47">
            <w:pPr>
              <w:widowControl/>
              <w:suppressAutoHyphens w:val="0"/>
              <w:spacing w:line="240" w:lineRule="auto"/>
              <w:jc w:val="left"/>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City Car Club</w:t>
            </w:r>
          </w:p>
        </w:tc>
        <w:tc>
          <w:tcPr>
            <w:tcW w:w="356" w:type="pct"/>
            <w:hideMark/>
          </w:tcPr>
          <w:p w:rsidR="00AF3280" w:rsidRPr="00AF3280" w:rsidRDefault="00AF3280" w:rsidP="00AA4F47">
            <w:pPr>
              <w:widowControl/>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London</w:t>
            </w:r>
          </w:p>
        </w:tc>
        <w:tc>
          <w:tcPr>
            <w:tcW w:w="304" w:type="pct"/>
            <w:hideMark/>
          </w:tcPr>
          <w:p w:rsidR="00AF3280" w:rsidRPr="00AF3280" w:rsidRDefault="00AF3280" w:rsidP="00AA4F47">
            <w:pPr>
              <w:widowControl/>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GBP</w:t>
            </w:r>
          </w:p>
        </w:tc>
        <w:tc>
          <w:tcPr>
            <w:tcW w:w="242" w:type="pct"/>
            <w:hideMark/>
          </w:tcPr>
          <w:p w:rsidR="00AF3280" w:rsidRPr="00AF3280" w:rsidRDefault="00AF3280" w:rsidP="00AA4F47">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5.71</w:t>
            </w:r>
          </w:p>
        </w:tc>
        <w:tc>
          <w:tcPr>
            <w:tcW w:w="264" w:type="pct"/>
            <w:hideMark/>
          </w:tcPr>
          <w:p w:rsidR="00AF3280" w:rsidRPr="00AF3280" w:rsidRDefault="00AF3280" w:rsidP="00AA4F47">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83.27</w:t>
            </w:r>
          </w:p>
        </w:tc>
        <w:tc>
          <w:tcPr>
            <w:tcW w:w="252" w:type="pct"/>
            <w:hideMark/>
          </w:tcPr>
          <w:p w:rsidR="00AF3280" w:rsidRPr="00AF3280" w:rsidRDefault="00AF3280" w:rsidP="00AA4F47">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175.00</w:t>
            </w:r>
          </w:p>
        </w:tc>
        <w:tc>
          <w:tcPr>
            <w:tcW w:w="183" w:type="pct"/>
            <w:hideMark/>
          </w:tcPr>
          <w:p w:rsidR="00AF3280" w:rsidRPr="00AF3280" w:rsidRDefault="00AF3280" w:rsidP="00AA4F47">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3.96</w:t>
            </w:r>
          </w:p>
        </w:tc>
        <w:tc>
          <w:tcPr>
            <w:tcW w:w="192" w:type="pct"/>
            <w:hideMark/>
          </w:tcPr>
          <w:p w:rsidR="00AF3280" w:rsidRPr="00AF3280" w:rsidRDefault="00AF3280" w:rsidP="00AA4F47">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39.60</w:t>
            </w:r>
          </w:p>
        </w:tc>
        <w:tc>
          <w:tcPr>
            <w:tcW w:w="198" w:type="pct"/>
            <w:hideMark/>
          </w:tcPr>
          <w:p w:rsidR="00AF3280" w:rsidRPr="00AF3280" w:rsidRDefault="00AF3280" w:rsidP="00AA4F47">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0.10</w:t>
            </w:r>
          </w:p>
        </w:tc>
        <w:tc>
          <w:tcPr>
            <w:tcW w:w="223" w:type="pct"/>
            <w:hideMark/>
          </w:tcPr>
          <w:p w:rsidR="00AF3280" w:rsidRPr="00AF3280" w:rsidRDefault="00AF3280" w:rsidP="00AA4F47">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0.10</w:t>
            </w:r>
          </w:p>
        </w:tc>
        <w:tc>
          <w:tcPr>
            <w:tcW w:w="2352" w:type="pct"/>
            <w:hideMark/>
          </w:tcPr>
          <w:p w:rsidR="00AF3280" w:rsidRPr="00AF3280" w:rsidRDefault="00AF3280" w:rsidP="00AF3280">
            <w:pPr>
              <w:widowControl/>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http://www.citycarclub.co.uk/</w:t>
            </w:r>
          </w:p>
        </w:tc>
      </w:tr>
      <w:tr w:rsidR="00AF3280" w:rsidRPr="00AF3280" w:rsidTr="00AF3280">
        <w:trPr>
          <w:trHeight w:val="255"/>
        </w:trPr>
        <w:tc>
          <w:tcPr>
            <w:cnfStyle w:val="001000000000" w:firstRow="0" w:lastRow="0" w:firstColumn="1" w:lastColumn="0" w:oddVBand="0" w:evenVBand="0" w:oddHBand="0" w:evenHBand="0" w:firstRowFirstColumn="0" w:firstRowLastColumn="0" w:lastRowFirstColumn="0" w:lastRowLastColumn="0"/>
            <w:tcW w:w="434" w:type="pct"/>
            <w:hideMark/>
          </w:tcPr>
          <w:p w:rsidR="00AF3280" w:rsidRPr="00AF3280" w:rsidRDefault="00AF3280" w:rsidP="00AA4F47">
            <w:pPr>
              <w:widowControl/>
              <w:suppressAutoHyphens w:val="0"/>
              <w:spacing w:line="240" w:lineRule="auto"/>
              <w:jc w:val="left"/>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Mobility</w:t>
            </w:r>
          </w:p>
        </w:tc>
        <w:tc>
          <w:tcPr>
            <w:tcW w:w="356" w:type="pct"/>
            <w:hideMark/>
          </w:tcPr>
          <w:p w:rsidR="00AF3280" w:rsidRPr="00AF3280" w:rsidRDefault="00AF3280" w:rsidP="00AA4F47">
            <w:pPr>
              <w:widowControl/>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Switzerland</w:t>
            </w:r>
          </w:p>
        </w:tc>
        <w:tc>
          <w:tcPr>
            <w:tcW w:w="304" w:type="pct"/>
            <w:hideMark/>
          </w:tcPr>
          <w:p w:rsidR="00AF3280" w:rsidRPr="00AF3280" w:rsidRDefault="00AF3280" w:rsidP="00AA4F47">
            <w:pPr>
              <w:widowControl/>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CHF</w:t>
            </w:r>
          </w:p>
        </w:tc>
        <w:tc>
          <w:tcPr>
            <w:tcW w:w="242" w:type="pct"/>
            <w:hideMark/>
          </w:tcPr>
          <w:p w:rsidR="00AF3280" w:rsidRPr="00AF3280" w:rsidRDefault="00AF3280" w:rsidP="00AA4F47">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3.50</w:t>
            </w:r>
          </w:p>
        </w:tc>
        <w:tc>
          <w:tcPr>
            <w:tcW w:w="264" w:type="pct"/>
            <w:hideMark/>
          </w:tcPr>
          <w:p w:rsidR="00AF3280" w:rsidRPr="00AF3280" w:rsidRDefault="00AF3280" w:rsidP="00AA4F47">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84.58</w:t>
            </w:r>
          </w:p>
        </w:tc>
        <w:tc>
          <w:tcPr>
            <w:tcW w:w="252" w:type="pct"/>
            <w:hideMark/>
          </w:tcPr>
          <w:p w:rsidR="00AF3280" w:rsidRPr="00AF3280" w:rsidRDefault="00AF3280" w:rsidP="00AA4F47">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290.00</w:t>
            </w:r>
          </w:p>
        </w:tc>
        <w:tc>
          <w:tcPr>
            <w:tcW w:w="183" w:type="pct"/>
            <w:hideMark/>
          </w:tcPr>
          <w:p w:rsidR="00AF3280" w:rsidRPr="00AF3280" w:rsidRDefault="00AF3280" w:rsidP="00AA4F47">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2.70</w:t>
            </w:r>
          </w:p>
        </w:tc>
        <w:tc>
          <w:tcPr>
            <w:tcW w:w="192" w:type="pct"/>
            <w:noWrap/>
            <w:hideMark/>
          </w:tcPr>
          <w:p w:rsidR="00AF3280" w:rsidRPr="00AF3280" w:rsidRDefault="00AF3280" w:rsidP="00AA4F47">
            <w:pPr>
              <w:widowControl/>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p>
        </w:tc>
        <w:tc>
          <w:tcPr>
            <w:tcW w:w="198" w:type="pct"/>
            <w:hideMark/>
          </w:tcPr>
          <w:p w:rsidR="00AF3280" w:rsidRPr="00AF3280" w:rsidRDefault="00AF3280" w:rsidP="00AA4F47">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0.48</w:t>
            </w:r>
          </w:p>
        </w:tc>
        <w:tc>
          <w:tcPr>
            <w:tcW w:w="223" w:type="pct"/>
            <w:hideMark/>
          </w:tcPr>
          <w:p w:rsidR="00AF3280" w:rsidRPr="00AF3280" w:rsidRDefault="00AF3280" w:rsidP="00AA4F47">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0.24</w:t>
            </w:r>
          </w:p>
        </w:tc>
        <w:tc>
          <w:tcPr>
            <w:tcW w:w="2352" w:type="pct"/>
            <w:noWrap/>
            <w:hideMark/>
          </w:tcPr>
          <w:p w:rsidR="00AF3280" w:rsidRPr="00AF3280" w:rsidRDefault="00C64E65" w:rsidP="00AA4F47">
            <w:pPr>
              <w:widowControl/>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hyperlink r:id="rId33" w:history="1">
              <w:r w:rsidR="00AF3280" w:rsidRPr="00976EDA">
                <w:rPr>
                  <w:rStyle w:val="Hyperlink"/>
                  <w:rFonts w:ascii="Arial" w:eastAsia="Times New Roman" w:hAnsi="Arial" w:cs="Arial"/>
                  <w:kern w:val="0"/>
                  <w:sz w:val="20"/>
                  <w:szCs w:val="20"/>
                  <w:lang w:eastAsia="en-US"/>
                </w:rPr>
                <w:t>http://www.mobility.ch</w:t>
              </w:r>
            </w:hyperlink>
          </w:p>
        </w:tc>
      </w:tr>
      <w:tr w:rsidR="00AF3280" w:rsidRPr="00AF3280" w:rsidTr="00AF328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34" w:type="pct"/>
            <w:noWrap/>
            <w:hideMark/>
          </w:tcPr>
          <w:p w:rsidR="00AF3280" w:rsidRPr="00AF3280" w:rsidRDefault="00AF3280" w:rsidP="00AA4F47">
            <w:pPr>
              <w:widowControl/>
              <w:suppressAutoHyphens w:val="0"/>
              <w:spacing w:line="240" w:lineRule="auto"/>
              <w:jc w:val="left"/>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Car2Go</w:t>
            </w:r>
          </w:p>
        </w:tc>
        <w:tc>
          <w:tcPr>
            <w:tcW w:w="356" w:type="pct"/>
            <w:noWrap/>
            <w:hideMark/>
          </w:tcPr>
          <w:p w:rsidR="00AF3280" w:rsidRPr="00AF3280" w:rsidRDefault="00AF3280" w:rsidP="00AA4F47">
            <w:pPr>
              <w:widowControl/>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Tel Aviv – Value</w:t>
            </w:r>
          </w:p>
        </w:tc>
        <w:tc>
          <w:tcPr>
            <w:tcW w:w="304" w:type="pct"/>
            <w:noWrap/>
            <w:hideMark/>
          </w:tcPr>
          <w:p w:rsidR="00AF3280" w:rsidRPr="00AF3280" w:rsidRDefault="00AF3280" w:rsidP="00AA4F47">
            <w:pPr>
              <w:widowControl/>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ILS</w:t>
            </w:r>
          </w:p>
        </w:tc>
        <w:tc>
          <w:tcPr>
            <w:tcW w:w="242" w:type="pct"/>
            <w:noWrap/>
            <w:hideMark/>
          </w:tcPr>
          <w:p w:rsidR="00AF3280" w:rsidRPr="00AF3280" w:rsidRDefault="00AF3280" w:rsidP="00AA4F47">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1.00</w:t>
            </w:r>
          </w:p>
        </w:tc>
        <w:tc>
          <w:tcPr>
            <w:tcW w:w="264" w:type="pct"/>
            <w:hideMark/>
          </w:tcPr>
          <w:p w:rsidR="00AF3280" w:rsidRPr="00AF3280" w:rsidRDefault="00AF3280" w:rsidP="00AA4F47">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99.00</w:t>
            </w:r>
          </w:p>
        </w:tc>
        <w:tc>
          <w:tcPr>
            <w:tcW w:w="252" w:type="pct"/>
            <w:noWrap/>
            <w:hideMark/>
          </w:tcPr>
          <w:p w:rsidR="00AF3280" w:rsidRPr="00AF3280" w:rsidRDefault="00AF3280" w:rsidP="00AA4F47">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1188.00</w:t>
            </w:r>
          </w:p>
        </w:tc>
        <w:tc>
          <w:tcPr>
            <w:tcW w:w="183" w:type="pct"/>
            <w:noWrap/>
            <w:hideMark/>
          </w:tcPr>
          <w:p w:rsidR="00AF3280" w:rsidRPr="00AF3280" w:rsidRDefault="00AF3280" w:rsidP="00AA4F47">
            <w:pPr>
              <w:widowControl/>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p>
        </w:tc>
        <w:tc>
          <w:tcPr>
            <w:tcW w:w="192" w:type="pct"/>
            <w:noWrap/>
            <w:hideMark/>
          </w:tcPr>
          <w:p w:rsidR="00AF3280" w:rsidRPr="00AF3280" w:rsidRDefault="00AF3280" w:rsidP="00AA4F47">
            <w:pPr>
              <w:widowControl/>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p>
        </w:tc>
        <w:tc>
          <w:tcPr>
            <w:tcW w:w="198" w:type="pct"/>
            <w:noWrap/>
            <w:hideMark/>
          </w:tcPr>
          <w:p w:rsidR="00AF3280" w:rsidRPr="00AF3280" w:rsidRDefault="00AF3280" w:rsidP="00AA4F47">
            <w:pPr>
              <w:widowControl/>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p>
        </w:tc>
        <w:tc>
          <w:tcPr>
            <w:tcW w:w="223" w:type="pct"/>
            <w:noWrap/>
            <w:hideMark/>
          </w:tcPr>
          <w:p w:rsidR="00AF3280" w:rsidRPr="00AF3280" w:rsidRDefault="00AF3280" w:rsidP="00AA4F47">
            <w:pPr>
              <w:widowControl/>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p>
        </w:tc>
        <w:tc>
          <w:tcPr>
            <w:tcW w:w="2352" w:type="pct"/>
            <w:noWrap/>
            <w:hideMark/>
          </w:tcPr>
          <w:p w:rsidR="00AF3280" w:rsidRPr="00AF3280" w:rsidRDefault="00AF3280" w:rsidP="00AA4F47">
            <w:pPr>
              <w:widowControl/>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http://www.car2go.co.il/</w:t>
            </w:r>
          </w:p>
        </w:tc>
      </w:tr>
      <w:tr w:rsidR="00AF3280" w:rsidRPr="00AF3280" w:rsidTr="00AF3280">
        <w:trPr>
          <w:trHeight w:val="255"/>
        </w:trPr>
        <w:tc>
          <w:tcPr>
            <w:cnfStyle w:val="001000000000" w:firstRow="0" w:lastRow="0" w:firstColumn="1" w:lastColumn="0" w:oddVBand="0" w:evenVBand="0" w:oddHBand="0" w:evenHBand="0" w:firstRowFirstColumn="0" w:firstRowLastColumn="0" w:lastRowFirstColumn="0" w:lastRowLastColumn="0"/>
            <w:tcW w:w="434" w:type="pct"/>
            <w:hideMark/>
          </w:tcPr>
          <w:p w:rsidR="00AF3280" w:rsidRPr="00AF3280" w:rsidRDefault="00AF3280" w:rsidP="00AA4F47">
            <w:pPr>
              <w:widowControl/>
              <w:suppressAutoHyphens w:val="0"/>
              <w:spacing w:line="240" w:lineRule="auto"/>
              <w:jc w:val="left"/>
              <w:rPr>
                <w:rFonts w:ascii="Arial" w:eastAsia="Times New Roman" w:hAnsi="Arial" w:cs="Arial"/>
                <w:kern w:val="0"/>
                <w:sz w:val="20"/>
                <w:szCs w:val="20"/>
                <w:lang w:eastAsia="en-US"/>
              </w:rPr>
            </w:pPr>
            <w:proofErr w:type="spellStart"/>
            <w:r w:rsidRPr="00AF3280">
              <w:rPr>
                <w:rFonts w:ascii="Arial" w:eastAsia="Times New Roman" w:hAnsi="Arial" w:cs="Arial"/>
                <w:kern w:val="0"/>
                <w:sz w:val="20"/>
                <w:szCs w:val="20"/>
                <w:lang w:eastAsia="en-US"/>
              </w:rPr>
              <w:t>Cambio</w:t>
            </w:r>
            <w:proofErr w:type="spellEnd"/>
          </w:p>
        </w:tc>
        <w:tc>
          <w:tcPr>
            <w:tcW w:w="356" w:type="pct"/>
            <w:hideMark/>
          </w:tcPr>
          <w:p w:rsidR="00AF3280" w:rsidRPr="00AF3280" w:rsidRDefault="00AF3280" w:rsidP="00AA4F47">
            <w:pPr>
              <w:widowControl/>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Germany</w:t>
            </w:r>
          </w:p>
        </w:tc>
        <w:tc>
          <w:tcPr>
            <w:tcW w:w="304" w:type="pct"/>
            <w:hideMark/>
          </w:tcPr>
          <w:p w:rsidR="00AF3280" w:rsidRPr="00AF3280" w:rsidRDefault="00AF3280" w:rsidP="00AA4F47">
            <w:pPr>
              <w:widowControl/>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EUR</w:t>
            </w:r>
          </w:p>
        </w:tc>
        <w:tc>
          <w:tcPr>
            <w:tcW w:w="242" w:type="pct"/>
            <w:hideMark/>
          </w:tcPr>
          <w:p w:rsidR="00AF3280" w:rsidRPr="00AF3280" w:rsidRDefault="00AF3280" w:rsidP="00AA4F47">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5.12</w:t>
            </w:r>
          </w:p>
        </w:tc>
        <w:tc>
          <w:tcPr>
            <w:tcW w:w="264" w:type="pct"/>
            <w:hideMark/>
          </w:tcPr>
          <w:p w:rsidR="00AF3280" w:rsidRPr="00AF3280" w:rsidRDefault="00AF3280" w:rsidP="00AA4F47">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128.00</w:t>
            </w:r>
          </w:p>
        </w:tc>
        <w:tc>
          <w:tcPr>
            <w:tcW w:w="252" w:type="pct"/>
            <w:hideMark/>
          </w:tcPr>
          <w:p w:rsidR="00AF3280" w:rsidRPr="00AF3280" w:rsidRDefault="00AF3280" w:rsidP="00AA4F47">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300.00</w:t>
            </w:r>
          </w:p>
        </w:tc>
        <w:tc>
          <w:tcPr>
            <w:tcW w:w="183" w:type="pct"/>
            <w:hideMark/>
          </w:tcPr>
          <w:p w:rsidR="00AF3280" w:rsidRPr="00AF3280" w:rsidRDefault="00AF3280" w:rsidP="00AA4F47">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1.50</w:t>
            </w:r>
          </w:p>
        </w:tc>
        <w:tc>
          <w:tcPr>
            <w:tcW w:w="192" w:type="pct"/>
            <w:hideMark/>
          </w:tcPr>
          <w:p w:rsidR="00AF3280" w:rsidRPr="00AF3280" w:rsidRDefault="00AF3280" w:rsidP="00AA4F47">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18.00</w:t>
            </w:r>
          </w:p>
        </w:tc>
        <w:tc>
          <w:tcPr>
            <w:tcW w:w="198" w:type="pct"/>
            <w:hideMark/>
          </w:tcPr>
          <w:p w:rsidR="00AF3280" w:rsidRPr="00AF3280" w:rsidRDefault="00AF3280" w:rsidP="00AA4F47">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0.19</w:t>
            </w:r>
          </w:p>
        </w:tc>
        <w:tc>
          <w:tcPr>
            <w:tcW w:w="223" w:type="pct"/>
            <w:hideMark/>
          </w:tcPr>
          <w:p w:rsidR="00AF3280" w:rsidRPr="00AF3280" w:rsidRDefault="00AF3280" w:rsidP="00AA4F47">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0.16</w:t>
            </w:r>
          </w:p>
        </w:tc>
        <w:tc>
          <w:tcPr>
            <w:tcW w:w="2352" w:type="pct"/>
            <w:hideMark/>
          </w:tcPr>
          <w:p w:rsidR="00AF3280" w:rsidRPr="00AF3280" w:rsidRDefault="00AF3280" w:rsidP="00AF3280">
            <w:pPr>
              <w:widowControl/>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http://www.cambio-carsharing.de/</w:t>
            </w:r>
          </w:p>
        </w:tc>
      </w:tr>
      <w:tr w:rsidR="00AF3280" w:rsidRPr="00AF3280" w:rsidTr="00AF328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34" w:type="pct"/>
            <w:noWrap/>
            <w:hideMark/>
          </w:tcPr>
          <w:p w:rsidR="00AF3280" w:rsidRPr="00AF3280" w:rsidRDefault="00AF3280" w:rsidP="00AA4F47">
            <w:pPr>
              <w:widowControl/>
              <w:suppressAutoHyphens w:val="0"/>
              <w:spacing w:line="240" w:lineRule="auto"/>
              <w:jc w:val="left"/>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Car2Go</w:t>
            </w:r>
          </w:p>
        </w:tc>
        <w:tc>
          <w:tcPr>
            <w:tcW w:w="356" w:type="pct"/>
            <w:noWrap/>
            <w:hideMark/>
          </w:tcPr>
          <w:p w:rsidR="00AF3280" w:rsidRPr="00AF3280" w:rsidRDefault="00AF3280" w:rsidP="00AA4F47">
            <w:pPr>
              <w:widowControl/>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Tel Aviv – Value +</w:t>
            </w:r>
          </w:p>
        </w:tc>
        <w:tc>
          <w:tcPr>
            <w:tcW w:w="304" w:type="pct"/>
            <w:noWrap/>
            <w:hideMark/>
          </w:tcPr>
          <w:p w:rsidR="00AF3280" w:rsidRPr="00AF3280" w:rsidRDefault="00AF3280" w:rsidP="00AA4F47">
            <w:pPr>
              <w:widowControl/>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ILS</w:t>
            </w:r>
          </w:p>
        </w:tc>
        <w:tc>
          <w:tcPr>
            <w:tcW w:w="242" w:type="pct"/>
            <w:noWrap/>
            <w:hideMark/>
          </w:tcPr>
          <w:p w:rsidR="00AF3280" w:rsidRPr="00AF3280" w:rsidRDefault="00AF3280" w:rsidP="00AA4F47">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1.00</w:t>
            </w:r>
          </w:p>
        </w:tc>
        <w:tc>
          <w:tcPr>
            <w:tcW w:w="264" w:type="pct"/>
            <w:hideMark/>
          </w:tcPr>
          <w:p w:rsidR="00AF3280" w:rsidRPr="00AF3280" w:rsidRDefault="00AF3280" w:rsidP="00AA4F47">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229.00</w:t>
            </w:r>
          </w:p>
        </w:tc>
        <w:tc>
          <w:tcPr>
            <w:tcW w:w="252" w:type="pct"/>
            <w:noWrap/>
            <w:hideMark/>
          </w:tcPr>
          <w:p w:rsidR="00AF3280" w:rsidRPr="00AF3280" w:rsidRDefault="00AF3280" w:rsidP="00AA4F47">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2748.00</w:t>
            </w:r>
          </w:p>
        </w:tc>
        <w:tc>
          <w:tcPr>
            <w:tcW w:w="183" w:type="pct"/>
            <w:noWrap/>
            <w:hideMark/>
          </w:tcPr>
          <w:p w:rsidR="00AF3280" w:rsidRPr="00AF3280" w:rsidRDefault="00AF3280" w:rsidP="00AA4F47">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9.00</w:t>
            </w:r>
          </w:p>
        </w:tc>
        <w:tc>
          <w:tcPr>
            <w:tcW w:w="192" w:type="pct"/>
            <w:noWrap/>
            <w:hideMark/>
          </w:tcPr>
          <w:p w:rsidR="00AF3280" w:rsidRPr="00AF3280" w:rsidRDefault="00AF3280" w:rsidP="00AA4F47">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90.00</w:t>
            </w:r>
          </w:p>
        </w:tc>
        <w:tc>
          <w:tcPr>
            <w:tcW w:w="198" w:type="pct"/>
            <w:noWrap/>
            <w:hideMark/>
          </w:tcPr>
          <w:p w:rsidR="00AF3280" w:rsidRPr="00AF3280" w:rsidRDefault="00AF3280" w:rsidP="00AA4F47">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0.95</w:t>
            </w:r>
          </w:p>
        </w:tc>
        <w:tc>
          <w:tcPr>
            <w:tcW w:w="223" w:type="pct"/>
            <w:noWrap/>
            <w:hideMark/>
          </w:tcPr>
          <w:p w:rsidR="00AF3280" w:rsidRPr="00AF3280" w:rsidRDefault="00AF3280" w:rsidP="00AA4F47">
            <w:pPr>
              <w:widowControl/>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p>
        </w:tc>
        <w:tc>
          <w:tcPr>
            <w:tcW w:w="2352" w:type="pct"/>
            <w:noWrap/>
            <w:hideMark/>
          </w:tcPr>
          <w:p w:rsidR="00AF3280" w:rsidRPr="00AF3280" w:rsidRDefault="00AF3280" w:rsidP="00AA4F47">
            <w:pPr>
              <w:widowControl/>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http://www.car2go.co.il/</w:t>
            </w:r>
          </w:p>
        </w:tc>
      </w:tr>
      <w:tr w:rsidR="00AF3280" w:rsidRPr="00AF3280" w:rsidTr="00AF3280">
        <w:trPr>
          <w:trHeight w:val="255"/>
        </w:trPr>
        <w:tc>
          <w:tcPr>
            <w:cnfStyle w:val="001000000000" w:firstRow="0" w:lastRow="0" w:firstColumn="1" w:lastColumn="0" w:oddVBand="0" w:evenVBand="0" w:oddHBand="0" w:evenHBand="0" w:firstRowFirstColumn="0" w:firstRowLastColumn="0" w:lastRowFirstColumn="0" w:lastRowLastColumn="0"/>
            <w:tcW w:w="434" w:type="pct"/>
            <w:hideMark/>
          </w:tcPr>
          <w:p w:rsidR="00AF3280" w:rsidRPr="00AF3280" w:rsidRDefault="00AF3280" w:rsidP="00AA4F47">
            <w:pPr>
              <w:widowControl/>
              <w:suppressAutoHyphens w:val="0"/>
              <w:spacing w:line="240" w:lineRule="auto"/>
              <w:jc w:val="left"/>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Hertz Connect</w:t>
            </w:r>
            <w:r>
              <w:rPr>
                <w:rFonts w:ascii="Arial" w:eastAsia="Times New Roman" w:hAnsi="Arial" w:cs="Arial"/>
                <w:kern w:val="0"/>
                <w:sz w:val="20"/>
                <w:szCs w:val="20"/>
                <w:lang w:eastAsia="en-US"/>
              </w:rPr>
              <w:t xml:space="preserve"> - Manhattan</w:t>
            </w:r>
          </w:p>
        </w:tc>
        <w:tc>
          <w:tcPr>
            <w:tcW w:w="356" w:type="pct"/>
            <w:hideMark/>
          </w:tcPr>
          <w:p w:rsidR="00AF3280" w:rsidRPr="00AF3280" w:rsidRDefault="00AF3280" w:rsidP="00AA4F47">
            <w:pPr>
              <w:widowControl/>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Manhattan</w:t>
            </w:r>
          </w:p>
        </w:tc>
        <w:tc>
          <w:tcPr>
            <w:tcW w:w="304" w:type="pct"/>
            <w:hideMark/>
          </w:tcPr>
          <w:p w:rsidR="00AF3280" w:rsidRPr="00AF3280" w:rsidRDefault="00AF3280" w:rsidP="00AA4F47">
            <w:pPr>
              <w:widowControl/>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USD</w:t>
            </w:r>
          </w:p>
        </w:tc>
        <w:tc>
          <w:tcPr>
            <w:tcW w:w="242" w:type="pct"/>
            <w:hideMark/>
          </w:tcPr>
          <w:p w:rsidR="00AF3280" w:rsidRPr="00AF3280" w:rsidRDefault="00AF3280" w:rsidP="00AA4F47">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3.79</w:t>
            </w:r>
          </w:p>
        </w:tc>
        <w:tc>
          <w:tcPr>
            <w:tcW w:w="264" w:type="pct"/>
            <w:hideMark/>
          </w:tcPr>
          <w:p w:rsidR="00AF3280" w:rsidRPr="00AF3280" w:rsidRDefault="00AF3280" w:rsidP="00AA4F47">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473.75</w:t>
            </w:r>
          </w:p>
        </w:tc>
        <w:tc>
          <w:tcPr>
            <w:tcW w:w="252" w:type="pct"/>
            <w:hideMark/>
          </w:tcPr>
          <w:p w:rsidR="00AF3280" w:rsidRPr="00AF3280" w:rsidRDefault="00AF3280" w:rsidP="00AA4F47">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1500.00</w:t>
            </w:r>
          </w:p>
        </w:tc>
        <w:tc>
          <w:tcPr>
            <w:tcW w:w="183" w:type="pct"/>
            <w:hideMark/>
          </w:tcPr>
          <w:p w:rsidR="00AF3280" w:rsidRPr="00AF3280" w:rsidRDefault="00AF3280" w:rsidP="00AA4F47">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8.50</w:t>
            </w:r>
          </w:p>
        </w:tc>
        <w:tc>
          <w:tcPr>
            <w:tcW w:w="192" w:type="pct"/>
            <w:hideMark/>
          </w:tcPr>
          <w:p w:rsidR="00AF3280" w:rsidRPr="00AF3280" w:rsidRDefault="00AF3280" w:rsidP="00AA4F47">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59.50</w:t>
            </w:r>
          </w:p>
        </w:tc>
        <w:tc>
          <w:tcPr>
            <w:tcW w:w="198" w:type="pct"/>
            <w:hideMark/>
          </w:tcPr>
          <w:p w:rsidR="00AF3280" w:rsidRPr="00AF3280" w:rsidRDefault="00AF3280" w:rsidP="00AF3280">
            <w:pPr>
              <w:widowControl/>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 xml:space="preserve">180 miles </w:t>
            </w:r>
            <w:r>
              <w:rPr>
                <w:rFonts w:ascii="Arial" w:eastAsia="Times New Roman" w:hAnsi="Arial" w:cs="Arial"/>
                <w:kern w:val="0"/>
                <w:sz w:val="20"/>
                <w:szCs w:val="20"/>
                <w:lang w:eastAsia="en-US"/>
              </w:rPr>
              <w:t>incl.</w:t>
            </w:r>
          </w:p>
        </w:tc>
        <w:tc>
          <w:tcPr>
            <w:tcW w:w="223" w:type="pct"/>
            <w:noWrap/>
            <w:hideMark/>
          </w:tcPr>
          <w:p w:rsidR="00AF3280" w:rsidRPr="00AF3280" w:rsidRDefault="00AF3280" w:rsidP="00AA4F47">
            <w:pPr>
              <w:widowControl/>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p>
        </w:tc>
        <w:tc>
          <w:tcPr>
            <w:tcW w:w="2352" w:type="pct"/>
            <w:hideMark/>
          </w:tcPr>
          <w:p w:rsidR="00AF3280" w:rsidRPr="00AF3280" w:rsidRDefault="00AF3280" w:rsidP="00AF3280">
            <w:pPr>
              <w:widowControl/>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http://www.connectbyhertz.com/</w:t>
            </w:r>
          </w:p>
        </w:tc>
      </w:tr>
      <w:tr w:rsidR="00AF3280" w:rsidRPr="00AF3280" w:rsidTr="00AF328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34" w:type="pct"/>
            <w:hideMark/>
          </w:tcPr>
          <w:p w:rsidR="00AF3280" w:rsidRPr="00AF3280" w:rsidRDefault="00AF3280" w:rsidP="00AA4F47">
            <w:pPr>
              <w:widowControl/>
              <w:suppressAutoHyphens w:val="0"/>
              <w:spacing w:line="240" w:lineRule="auto"/>
              <w:jc w:val="left"/>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Hertz Connect - Baltimore</w:t>
            </w:r>
          </w:p>
        </w:tc>
        <w:tc>
          <w:tcPr>
            <w:tcW w:w="356" w:type="pct"/>
            <w:hideMark/>
          </w:tcPr>
          <w:p w:rsidR="00AF3280" w:rsidRPr="00AF3280" w:rsidRDefault="00AF3280" w:rsidP="00AA4F47">
            <w:pPr>
              <w:widowControl/>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Baltimore</w:t>
            </w:r>
          </w:p>
        </w:tc>
        <w:tc>
          <w:tcPr>
            <w:tcW w:w="304" w:type="pct"/>
            <w:hideMark/>
          </w:tcPr>
          <w:p w:rsidR="00AF3280" w:rsidRPr="00AF3280" w:rsidRDefault="00AF3280" w:rsidP="00AA4F47">
            <w:pPr>
              <w:widowControl/>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USD</w:t>
            </w:r>
          </w:p>
        </w:tc>
        <w:tc>
          <w:tcPr>
            <w:tcW w:w="242" w:type="pct"/>
            <w:hideMark/>
          </w:tcPr>
          <w:p w:rsidR="00AF3280" w:rsidRPr="00AF3280" w:rsidRDefault="00AF3280" w:rsidP="00AA4F47">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3.79</w:t>
            </w:r>
          </w:p>
        </w:tc>
        <w:tc>
          <w:tcPr>
            <w:tcW w:w="264" w:type="pct"/>
            <w:hideMark/>
          </w:tcPr>
          <w:p w:rsidR="00AF3280" w:rsidRPr="00AF3280" w:rsidRDefault="00AF3280" w:rsidP="00AA4F47">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473.75</w:t>
            </w:r>
          </w:p>
        </w:tc>
        <w:tc>
          <w:tcPr>
            <w:tcW w:w="252" w:type="pct"/>
            <w:hideMark/>
          </w:tcPr>
          <w:p w:rsidR="00AF3280" w:rsidRPr="00AF3280" w:rsidRDefault="00AF3280" w:rsidP="00AA4F47">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1500.00</w:t>
            </w:r>
          </w:p>
        </w:tc>
        <w:tc>
          <w:tcPr>
            <w:tcW w:w="183" w:type="pct"/>
            <w:hideMark/>
          </w:tcPr>
          <w:p w:rsidR="00AF3280" w:rsidRPr="00AF3280" w:rsidRDefault="00AF3280" w:rsidP="00AA4F47">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6.80</w:t>
            </w:r>
          </w:p>
        </w:tc>
        <w:tc>
          <w:tcPr>
            <w:tcW w:w="192" w:type="pct"/>
            <w:hideMark/>
          </w:tcPr>
          <w:p w:rsidR="00AF3280" w:rsidRPr="00AF3280" w:rsidRDefault="00AF3280" w:rsidP="00AA4F47">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52.70</w:t>
            </w:r>
          </w:p>
        </w:tc>
        <w:tc>
          <w:tcPr>
            <w:tcW w:w="198" w:type="pct"/>
            <w:hideMark/>
          </w:tcPr>
          <w:p w:rsidR="00AF3280" w:rsidRPr="00AF3280" w:rsidRDefault="00AF3280" w:rsidP="00AF3280">
            <w:pPr>
              <w:widowControl/>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 xml:space="preserve">180 miles </w:t>
            </w:r>
            <w:r>
              <w:rPr>
                <w:rFonts w:ascii="Arial" w:eastAsia="Times New Roman" w:hAnsi="Arial" w:cs="Arial"/>
                <w:kern w:val="0"/>
                <w:sz w:val="20"/>
                <w:szCs w:val="20"/>
                <w:lang w:eastAsia="en-US"/>
              </w:rPr>
              <w:t>incl.</w:t>
            </w:r>
          </w:p>
        </w:tc>
        <w:tc>
          <w:tcPr>
            <w:tcW w:w="223" w:type="pct"/>
            <w:noWrap/>
            <w:hideMark/>
          </w:tcPr>
          <w:p w:rsidR="00AF3280" w:rsidRPr="00AF3280" w:rsidRDefault="00AF3280" w:rsidP="00AA4F47">
            <w:pPr>
              <w:widowControl/>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p>
        </w:tc>
        <w:tc>
          <w:tcPr>
            <w:tcW w:w="2352" w:type="pct"/>
            <w:hideMark/>
          </w:tcPr>
          <w:p w:rsidR="00AF3280" w:rsidRPr="00AF3280" w:rsidRDefault="00AF3280" w:rsidP="00AF3280">
            <w:pPr>
              <w:widowControl/>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rPr>
            </w:pPr>
            <w:r w:rsidRPr="00AF3280">
              <w:rPr>
                <w:rFonts w:ascii="Arial" w:eastAsia="Times New Roman" w:hAnsi="Arial" w:cs="Arial"/>
                <w:kern w:val="0"/>
                <w:sz w:val="20"/>
                <w:szCs w:val="20"/>
                <w:lang w:eastAsia="en-US"/>
              </w:rPr>
              <w:t>http://www.connectbyhertz.com/</w:t>
            </w:r>
          </w:p>
        </w:tc>
      </w:tr>
    </w:tbl>
    <w:p w:rsidR="00AF3280" w:rsidRDefault="00AF3280">
      <w:pPr>
        <w:widowControl/>
        <w:suppressAutoHyphens w:val="0"/>
        <w:spacing w:line="240" w:lineRule="auto"/>
        <w:jc w:val="left"/>
        <w:sectPr w:rsidR="00AF3280" w:rsidSect="00D41F68">
          <w:pgSz w:w="15840" w:h="12240" w:orient="landscape"/>
          <w:pgMar w:top="1134" w:right="1134" w:bottom="1134" w:left="1134" w:header="720" w:footer="720" w:gutter="0"/>
          <w:cols w:space="720"/>
          <w:docGrid w:linePitch="326"/>
        </w:sectPr>
      </w:pPr>
    </w:p>
    <w:p w:rsidR="007F3D60" w:rsidRDefault="007D3619" w:rsidP="007F3D60">
      <w:pPr>
        <w:pStyle w:val="Heading1"/>
      </w:pPr>
      <w:bookmarkStart w:id="15" w:name="_Toc263943208"/>
      <w:r>
        <w:lastRenderedPageBreak/>
        <w:t>Bibliography</w:t>
      </w:r>
      <w:bookmarkEnd w:id="15"/>
    </w:p>
    <w:p w:rsidR="00301960" w:rsidRDefault="0022334E" w:rsidP="00301960">
      <w:pPr>
        <w:pStyle w:val="Default"/>
        <w:ind w:left="-709"/>
      </w:pPr>
      <w:r>
        <w:t xml:space="preserve">Auto Car Magazine, URL: </w:t>
      </w:r>
      <w:hyperlink r:id="rId34" w:history="1">
        <w:r w:rsidRPr="00976EDA">
          <w:rPr>
            <w:rStyle w:val="Hyperlink"/>
          </w:rPr>
          <w:t>http://www.auto.co.il/</w:t>
        </w:r>
      </w:hyperlink>
      <w:r>
        <w:t xml:space="preserve"> , accessed: 1.4.2010</w:t>
      </w:r>
    </w:p>
    <w:p w:rsidR="00301960" w:rsidRDefault="00301960" w:rsidP="00301960">
      <w:pPr>
        <w:pStyle w:val="Default"/>
        <w:ind w:hanging="709"/>
      </w:pPr>
      <w:r>
        <w:t>Bank of Israel, URL</w:t>
      </w:r>
      <w:proofErr w:type="gramStart"/>
      <w:r>
        <w:t>: ,</w:t>
      </w:r>
      <w:proofErr w:type="gramEnd"/>
      <w:r>
        <w:t xml:space="preserve"> </w:t>
      </w:r>
      <w:hyperlink r:id="rId35" w:history="1">
        <w:r w:rsidRPr="00B63689">
          <w:rPr>
            <w:rStyle w:val="Hyperlink"/>
          </w:rPr>
          <w:t>http://www.bankisrael.gov.il/deptdata/monetar/interest/bointcre.htm</w:t>
        </w:r>
      </w:hyperlink>
      <w:r>
        <w:t>, accessed 23.3.2010</w:t>
      </w:r>
    </w:p>
    <w:p w:rsidR="007F3D60" w:rsidRDefault="00A0299C" w:rsidP="00A42A42">
      <w:pPr>
        <w:pStyle w:val="Default"/>
        <w:ind w:left="-709"/>
      </w:pPr>
      <w:r>
        <w:t>Barter, P</w:t>
      </w:r>
      <w:r w:rsidR="007F3D60">
        <w:t>aul</w:t>
      </w:r>
      <w:r>
        <w:t xml:space="preserve">. </w:t>
      </w:r>
      <w:proofErr w:type="gramStart"/>
      <w:r>
        <w:t>A. “Car Possession as Problematic for Urban Travel Markets.”</w:t>
      </w:r>
      <w:proofErr w:type="gramEnd"/>
      <w:r>
        <w:t xml:space="preserve"> </w:t>
      </w:r>
    </w:p>
    <w:p w:rsidR="00A0299C" w:rsidRDefault="007F3D60" w:rsidP="007F3D60">
      <w:pPr>
        <w:pStyle w:val="Default"/>
      </w:pPr>
      <w:r w:rsidRPr="007F3D60">
        <w:t>Research</w:t>
      </w:r>
      <w:r>
        <w:rPr>
          <w:sz w:val="28"/>
          <w:szCs w:val="28"/>
        </w:rPr>
        <w:t xml:space="preserve"> </w:t>
      </w:r>
      <w:r w:rsidRPr="007F3D60">
        <w:t>Paper Series: LKYSPP08-005, National University of Singapore, 2008</w:t>
      </w:r>
    </w:p>
    <w:p w:rsidR="00A0299C" w:rsidRDefault="00A0299C" w:rsidP="00A0299C">
      <w:pPr>
        <w:pStyle w:val="NormalWeb"/>
        <w:spacing w:before="0" w:beforeAutospacing="0" w:after="0" w:afterAutospacing="0" w:line="264" w:lineRule="atLeast"/>
        <w:ind w:hanging="720"/>
      </w:pPr>
      <w:proofErr w:type="spellStart"/>
      <w:r>
        <w:t>Bonsall</w:t>
      </w:r>
      <w:proofErr w:type="spellEnd"/>
      <w:r>
        <w:t xml:space="preserve">, </w:t>
      </w:r>
      <w:proofErr w:type="gramStart"/>
      <w:r>
        <w:t>P</w:t>
      </w:r>
      <w:r w:rsidR="00A42A42">
        <w:t>eter</w:t>
      </w:r>
      <w:r>
        <w:t>.,</w:t>
      </w:r>
      <w:proofErr w:type="gramEnd"/>
      <w:r>
        <w:t xml:space="preserve"> A</w:t>
      </w:r>
      <w:r w:rsidR="00A42A42">
        <w:t>nn</w:t>
      </w:r>
      <w:r>
        <w:t xml:space="preserve">. </w:t>
      </w:r>
      <w:proofErr w:type="spellStart"/>
      <w:r>
        <w:t>Jopson</w:t>
      </w:r>
      <w:proofErr w:type="spellEnd"/>
      <w:r>
        <w:t>, A</w:t>
      </w:r>
      <w:r w:rsidR="00A42A42">
        <w:t>lison</w:t>
      </w:r>
      <w:r>
        <w:t xml:space="preserve">. </w:t>
      </w:r>
      <w:proofErr w:type="spellStart"/>
      <w:r>
        <w:t>Pridmore</w:t>
      </w:r>
      <w:proofErr w:type="spellEnd"/>
      <w:r>
        <w:t>, A</w:t>
      </w:r>
      <w:r w:rsidR="00A42A42">
        <w:t>ndrea</w:t>
      </w:r>
      <w:r>
        <w:t xml:space="preserve">. </w:t>
      </w:r>
      <w:proofErr w:type="gramStart"/>
      <w:r>
        <w:t>Ryan,</w:t>
      </w:r>
      <w:proofErr w:type="gramEnd"/>
      <w:r>
        <w:t xml:space="preserve"> and P</w:t>
      </w:r>
      <w:r w:rsidR="00A42A42">
        <w:t>aul</w:t>
      </w:r>
      <w:r>
        <w:t xml:space="preserve">. </w:t>
      </w:r>
      <w:proofErr w:type="spellStart"/>
      <w:proofErr w:type="gramStart"/>
      <w:r>
        <w:t>Firmin</w:t>
      </w:r>
      <w:proofErr w:type="spellEnd"/>
      <w:r>
        <w:t>.</w:t>
      </w:r>
      <w:proofErr w:type="gramEnd"/>
      <w:r>
        <w:t xml:space="preserve"> “Car share and car clubs: Potential impacts.” In </w:t>
      </w:r>
      <w:r>
        <w:rPr>
          <w:i/>
          <w:iCs/>
        </w:rPr>
        <w:t xml:space="preserve">Department of Transport (Great Britain), Local Government and the Regions and </w:t>
      </w:r>
      <w:proofErr w:type="gramStart"/>
      <w:r>
        <w:rPr>
          <w:i/>
          <w:iCs/>
        </w:rPr>
        <w:t>The</w:t>
      </w:r>
      <w:proofErr w:type="gramEnd"/>
      <w:r>
        <w:rPr>
          <w:i/>
          <w:iCs/>
        </w:rPr>
        <w:t xml:space="preserve"> Motorists Forum, London, UK</w:t>
      </w:r>
      <w:r>
        <w:t>, 2002.</w:t>
      </w:r>
    </w:p>
    <w:p w:rsidR="00A0299C" w:rsidRDefault="00A0299C" w:rsidP="00A0299C">
      <w:pPr>
        <w:pStyle w:val="NormalWeb"/>
        <w:spacing w:before="0" w:beforeAutospacing="0" w:after="0" w:afterAutospacing="0" w:line="264" w:lineRule="atLeast"/>
        <w:ind w:hanging="720"/>
      </w:pPr>
      <w:proofErr w:type="gramStart"/>
      <w:r>
        <w:t xml:space="preserve">Cairns, S., L. </w:t>
      </w:r>
      <w:proofErr w:type="spellStart"/>
      <w:r>
        <w:t>Sloman</w:t>
      </w:r>
      <w:proofErr w:type="spellEnd"/>
      <w:r>
        <w:t xml:space="preserve">, C. </w:t>
      </w:r>
      <w:proofErr w:type="spellStart"/>
      <w:r>
        <w:t>Newson</w:t>
      </w:r>
      <w:proofErr w:type="spellEnd"/>
      <w:r>
        <w:t xml:space="preserve">, J. </w:t>
      </w:r>
      <w:proofErr w:type="spellStart"/>
      <w:r>
        <w:t>Anable</w:t>
      </w:r>
      <w:proofErr w:type="spellEnd"/>
      <w:r>
        <w:t xml:space="preserve">, A. </w:t>
      </w:r>
      <w:proofErr w:type="spellStart"/>
      <w:r>
        <w:t>Kirkbride</w:t>
      </w:r>
      <w:proofErr w:type="spellEnd"/>
      <w:r>
        <w:t>, and P. Goodwin.</w:t>
      </w:r>
      <w:proofErr w:type="gramEnd"/>
      <w:r>
        <w:t xml:space="preserve"> “Smarter Choices: Assessing the Potential to Achieve Traffic Reduction Using ‘Soft Measures’.” </w:t>
      </w:r>
      <w:r>
        <w:rPr>
          <w:i/>
          <w:iCs/>
        </w:rPr>
        <w:t>Transport Reviews</w:t>
      </w:r>
      <w:r>
        <w:t xml:space="preserve"> 28, no. 5 (2008): 593–618. </w:t>
      </w:r>
      <w:r>
        <w:rPr>
          <w:rStyle w:val="z3988"/>
        </w:rPr>
        <w:t> </w:t>
      </w:r>
    </w:p>
    <w:p w:rsidR="00A0299C" w:rsidRDefault="00A0299C" w:rsidP="00A0299C">
      <w:pPr>
        <w:pStyle w:val="NormalWeb"/>
        <w:spacing w:before="0" w:beforeAutospacing="0" w:after="0" w:afterAutospacing="0" w:line="264" w:lineRule="atLeast"/>
        <w:ind w:hanging="720"/>
      </w:pPr>
      <w:proofErr w:type="spellStart"/>
      <w:proofErr w:type="gramStart"/>
      <w:r>
        <w:t>Celsor</w:t>
      </w:r>
      <w:proofErr w:type="spellEnd"/>
      <w:r>
        <w:t>, C., A. Millard-Ball, M. Building, and P. Mall.</w:t>
      </w:r>
      <w:proofErr w:type="gramEnd"/>
      <w:r>
        <w:t xml:space="preserve"> “Where does car-sharing work? </w:t>
      </w:r>
      <w:proofErr w:type="gramStart"/>
      <w:r>
        <w:t>Using GIS to assess market potential.”</w:t>
      </w:r>
      <w:proofErr w:type="gramEnd"/>
      <w:r>
        <w:t xml:space="preserve"> </w:t>
      </w:r>
      <w:proofErr w:type="gramStart"/>
      <w:r>
        <w:t xml:space="preserve">In </w:t>
      </w:r>
      <w:r>
        <w:rPr>
          <w:i/>
          <w:iCs/>
        </w:rPr>
        <w:t>Transportation Research Board 86th Annual Meeting, Washington</w:t>
      </w:r>
      <w:r>
        <w:t>, 2007.</w:t>
      </w:r>
      <w:proofErr w:type="gramEnd"/>
    </w:p>
    <w:p w:rsidR="00A0299C" w:rsidRDefault="00A0299C" w:rsidP="00A0299C">
      <w:pPr>
        <w:pStyle w:val="NormalWeb"/>
        <w:spacing w:before="0" w:beforeAutospacing="0" w:after="0" w:afterAutospacing="0" w:line="264" w:lineRule="atLeast"/>
        <w:ind w:hanging="720"/>
      </w:pPr>
      <w:proofErr w:type="gramStart"/>
      <w:r>
        <w:t xml:space="preserve">Cohen, A., S. </w:t>
      </w:r>
      <w:proofErr w:type="spellStart"/>
      <w:r>
        <w:t>Shaheen</w:t>
      </w:r>
      <w:proofErr w:type="spellEnd"/>
      <w:r>
        <w:t>, and R. McKenzie.</w:t>
      </w:r>
      <w:proofErr w:type="gramEnd"/>
      <w:r>
        <w:t xml:space="preserve"> “Carsharing: A Guide for Local Planners.” </w:t>
      </w:r>
      <w:proofErr w:type="gramStart"/>
      <w:r>
        <w:rPr>
          <w:i/>
          <w:iCs/>
        </w:rPr>
        <w:t>American Planning Association, Washington, DC</w:t>
      </w:r>
      <w:r>
        <w:t xml:space="preserve"> (2008).</w:t>
      </w:r>
      <w:proofErr w:type="gramEnd"/>
      <w:r>
        <w:t xml:space="preserve"> </w:t>
      </w:r>
      <w:r>
        <w:rPr>
          <w:rStyle w:val="z3988"/>
        </w:rPr>
        <w:t> </w:t>
      </w:r>
    </w:p>
    <w:p w:rsidR="00A0299C" w:rsidRDefault="000723B8" w:rsidP="00A0299C">
      <w:pPr>
        <w:pStyle w:val="NormalWeb"/>
        <w:spacing w:before="0" w:beforeAutospacing="0" w:after="0" w:afterAutospacing="0" w:line="264" w:lineRule="atLeast"/>
        <w:ind w:hanging="720"/>
      </w:pPr>
      <w:proofErr w:type="spellStart"/>
      <w:r>
        <w:t>Delekzol</w:t>
      </w:r>
      <w:proofErr w:type="spellEnd"/>
      <w:r>
        <w:t xml:space="preserve"> Gas Price </w:t>
      </w:r>
      <w:proofErr w:type="spellStart"/>
      <w:r>
        <w:t>Comparison.</w:t>
      </w:r>
      <w:proofErr w:type="gramStart"/>
      <w:r w:rsidR="009C4D95">
        <w:t>,URL</w:t>
      </w:r>
      <w:proofErr w:type="spellEnd"/>
      <w:proofErr w:type="gramEnd"/>
      <w:r w:rsidR="009C4D95">
        <w:t xml:space="preserve">: </w:t>
      </w:r>
      <w:hyperlink r:id="rId36" w:history="1">
        <w:r w:rsidR="009C4D95" w:rsidRPr="00976EDA">
          <w:rPr>
            <w:rStyle w:val="Hyperlink"/>
          </w:rPr>
          <w:t>http://www.delekzol.co.il/</w:t>
        </w:r>
      </w:hyperlink>
      <w:r w:rsidR="009C4D95">
        <w:t>,  accessed 26.3.2010</w:t>
      </w:r>
    </w:p>
    <w:p w:rsidR="000723B8" w:rsidRDefault="00A0299C" w:rsidP="000723B8">
      <w:pPr>
        <w:pStyle w:val="NormalWeb"/>
        <w:spacing w:before="0" w:beforeAutospacing="0" w:after="0" w:afterAutospacing="0" w:line="264" w:lineRule="atLeast"/>
        <w:ind w:hanging="720"/>
      </w:pPr>
      <w:proofErr w:type="spellStart"/>
      <w:r>
        <w:t>Elgal</w:t>
      </w:r>
      <w:proofErr w:type="spellEnd"/>
      <w:r>
        <w:t xml:space="preserve"> Car. </w:t>
      </w:r>
      <w:proofErr w:type="gramStart"/>
      <w:r w:rsidRPr="004B1E6F">
        <w:t>“Gas usage in km/liter.”</w:t>
      </w:r>
      <w:proofErr w:type="gramEnd"/>
      <w:r w:rsidRPr="004B1E6F">
        <w:t xml:space="preserve"> </w:t>
      </w:r>
      <w:r w:rsidR="000723B8">
        <w:t>URL</w:t>
      </w:r>
      <w:proofErr w:type="gramStart"/>
      <w:r w:rsidR="000723B8">
        <w:t>:</w:t>
      </w:r>
      <w:r>
        <w:t>.</w:t>
      </w:r>
      <w:proofErr w:type="gramEnd"/>
      <w:r>
        <w:t xml:space="preserve"> </w:t>
      </w:r>
      <w:hyperlink r:id="rId37" w:history="1">
        <w:r>
          <w:rPr>
            <w:rStyle w:val="Hyperlink"/>
          </w:rPr>
          <w:t>http://www.elgalcar.co.il/content/13937</w:t>
        </w:r>
      </w:hyperlink>
      <w:r w:rsidR="000723B8">
        <w:t>, accessed 26.3.2010</w:t>
      </w:r>
    </w:p>
    <w:p w:rsidR="00A42A42" w:rsidRDefault="00A42A42" w:rsidP="00A42A42">
      <w:pPr>
        <w:pStyle w:val="NormalWeb"/>
        <w:spacing w:before="0" w:beforeAutospacing="0" w:after="0" w:afterAutospacing="0" w:line="264" w:lineRule="atLeast"/>
        <w:ind w:hanging="720"/>
      </w:pPr>
      <w:r>
        <w:t xml:space="preserve">Fletcher, E. “Road Transport, Environment &amp; Social Equity in Israel in the new millennium.” </w:t>
      </w:r>
      <w:r>
        <w:rPr>
          <w:i/>
          <w:iCs/>
        </w:rPr>
        <w:t>Transport in Israel and the Palestinian Territories</w:t>
      </w:r>
      <w:r>
        <w:t xml:space="preserve"> 8 (1999): 17. </w:t>
      </w:r>
      <w:r>
        <w:rPr>
          <w:rStyle w:val="z3988"/>
        </w:rPr>
        <w:t> </w:t>
      </w:r>
    </w:p>
    <w:p w:rsidR="00A0299C" w:rsidRDefault="00A0299C" w:rsidP="00A0299C">
      <w:pPr>
        <w:pStyle w:val="NormalWeb"/>
        <w:spacing w:before="0" w:beforeAutospacing="0" w:after="0" w:afterAutospacing="0" w:line="264" w:lineRule="atLeast"/>
        <w:ind w:hanging="720"/>
      </w:pPr>
      <w:proofErr w:type="gramStart"/>
      <w:r>
        <w:t>Harms, S. “From routine choice to rational decision making between mobility alternatives.”</w:t>
      </w:r>
      <w:proofErr w:type="gramEnd"/>
      <w:r>
        <w:t xml:space="preserve"> In </w:t>
      </w:r>
      <w:r>
        <w:rPr>
          <w:i/>
          <w:iCs/>
        </w:rPr>
        <w:t xml:space="preserve">Paper delivered at 3rd Swiss Transport Research Conference, Monte </w:t>
      </w:r>
      <w:proofErr w:type="spellStart"/>
      <w:r>
        <w:rPr>
          <w:i/>
          <w:iCs/>
        </w:rPr>
        <w:t>Verità</w:t>
      </w:r>
      <w:proofErr w:type="spellEnd"/>
      <w:r>
        <w:rPr>
          <w:i/>
          <w:iCs/>
        </w:rPr>
        <w:t>/</w:t>
      </w:r>
      <w:proofErr w:type="spellStart"/>
      <w:r>
        <w:rPr>
          <w:i/>
          <w:iCs/>
        </w:rPr>
        <w:t>Ascona</w:t>
      </w:r>
      <w:proofErr w:type="spellEnd"/>
      <w:r>
        <w:rPr>
          <w:i/>
          <w:iCs/>
        </w:rPr>
        <w:t>, Switzerland</w:t>
      </w:r>
      <w:r>
        <w:t>, 2003.</w:t>
      </w:r>
    </w:p>
    <w:p w:rsidR="00B80A8F" w:rsidRDefault="00B80A8F" w:rsidP="00B80A8F">
      <w:pPr>
        <w:pStyle w:val="NormalWeb"/>
        <w:spacing w:before="0" w:beforeAutospacing="0" w:after="0" w:afterAutospacing="0" w:line="264" w:lineRule="atLeast"/>
        <w:ind w:hanging="720"/>
      </w:pPr>
      <w:proofErr w:type="spellStart"/>
      <w:r>
        <w:t>Heshev</w:t>
      </w:r>
      <w:proofErr w:type="spellEnd"/>
      <w:r>
        <w:t xml:space="preserve"> Information Systems, URL: </w:t>
      </w:r>
      <w:hyperlink r:id="rId38" w:history="1">
        <w:r w:rsidRPr="00B63689">
          <w:rPr>
            <w:rStyle w:val="Hyperlink"/>
          </w:rPr>
          <w:t>http://www.iplma.org.il/</w:t>
        </w:r>
        <w:r w:rsidRPr="00B63689">
          <w:rPr>
            <w:rStyle w:val="Hyperlink"/>
            <w:rtl/>
          </w:rPr>
          <w:t>חדשות/חדשות/כלכלה-והשקעות/כמה-עולה-אחזקת-רכב</w:t>
        </w:r>
        <w:r w:rsidRPr="00B63689">
          <w:rPr>
            <w:rStyle w:val="Hyperlink"/>
          </w:rPr>
          <w:t>-.aspx</w:t>
        </w:r>
      </w:hyperlink>
      <w:r>
        <w:t xml:space="preserve"> , accessed 23.3.2010 </w:t>
      </w:r>
    </w:p>
    <w:p w:rsidR="00A0299C" w:rsidRDefault="00A0299C" w:rsidP="00B80A8F">
      <w:pPr>
        <w:pStyle w:val="NormalWeb"/>
        <w:spacing w:before="0" w:beforeAutospacing="0" w:after="0" w:afterAutospacing="0" w:line="264" w:lineRule="atLeast"/>
        <w:ind w:hanging="720"/>
      </w:pPr>
      <w:proofErr w:type="spellStart"/>
      <w:r>
        <w:t>Hertwich</w:t>
      </w:r>
      <w:proofErr w:type="spellEnd"/>
      <w:r>
        <w:t xml:space="preserve">, E. G. “Consumption and the rebound effect.” </w:t>
      </w:r>
      <w:r>
        <w:rPr>
          <w:i/>
          <w:iCs/>
        </w:rPr>
        <w:t>Journal of Industrial Ecology</w:t>
      </w:r>
      <w:r>
        <w:t xml:space="preserve"> 9, no. 1-2 (2005): 85–98. </w:t>
      </w:r>
      <w:r>
        <w:rPr>
          <w:rStyle w:val="z3988"/>
        </w:rPr>
        <w:t> </w:t>
      </w:r>
    </w:p>
    <w:p w:rsidR="00E3749A" w:rsidRDefault="00E3749A" w:rsidP="00E3749A">
      <w:pPr>
        <w:pStyle w:val="NormalWeb"/>
        <w:spacing w:before="0" w:beforeAutospacing="0" w:after="0" w:afterAutospacing="0" w:line="264" w:lineRule="atLeast"/>
        <w:ind w:hanging="720"/>
      </w:pPr>
      <w:r>
        <w:t xml:space="preserve">Israel Central Statistics Bureau, </w:t>
      </w:r>
      <w:hyperlink r:id="rId39" w:history="1">
        <w:r>
          <w:rPr>
            <w:rStyle w:val="Hyperlink"/>
          </w:rPr>
          <w:t>Motor Vehicles Registered in Cities, by Type of Vehicle</w:t>
        </w:r>
      </w:hyperlink>
      <w:r>
        <w:t>, Central Bureau of Statistics, 2998. URL</w:t>
      </w:r>
      <w:proofErr w:type="gramStart"/>
      <w:r>
        <w:t>:</w:t>
      </w:r>
      <w:proofErr w:type="gramEnd"/>
      <w:r w:rsidR="00C64E65">
        <w:fldChar w:fldCharType="begin"/>
      </w:r>
      <w:r w:rsidR="00C64E65">
        <w:instrText xml:space="preserve"> HYPERLINK "http://www.cbs.gov.il/reader/cw_usr_view_SHTML?ID=616" </w:instrText>
      </w:r>
      <w:r w:rsidR="00C64E65">
        <w:fldChar w:fldCharType="separate"/>
      </w:r>
      <w:r w:rsidRPr="00976EDA">
        <w:rPr>
          <w:rStyle w:val="Hyperlink"/>
        </w:rPr>
        <w:t>http://www.cbs.gov.il/reader/cw_usr_view_SHTML?ID=616</w:t>
      </w:r>
      <w:r w:rsidR="00C64E65">
        <w:rPr>
          <w:rStyle w:val="Hyperlink"/>
        </w:rPr>
        <w:fldChar w:fldCharType="end"/>
      </w:r>
      <w:r>
        <w:t xml:space="preserve"> , accessed 15.12.2009</w:t>
      </w:r>
    </w:p>
    <w:p w:rsidR="00E3749A" w:rsidRPr="008C0FF8" w:rsidRDefault="00E3749A" w:rsidP="00E3749A">
      <w:pPr>
        <w:pStyle w:val="NormalWeb"/>
        <w:spacing w:before="0" w:beforeAutospacing="0" w:after="0" w:afterAutospacing="0" w:line="264" w:lineRule="atLeast"/>
        <w:ind w:hanging="720"/>
      </w:pPr>
      <w:proofErr w:type="gramStart"/>
      <w:r>
        <w:t>Israel Central Bureau of Statistics.</w:t>
      </w:r>
      <w:proofErr w:type="gramEnd"/>
      <w:r>
        <w:t xml:space="preserve"> </w:t>
      </w:r>
      <w:proofErr w:type="gramStart"/>
      <w:r w:rsidRPr="008C0FF8">
        <w:t>“</w:t>
      </w:r>
      <w:proofErr w:type="spellStart"/>
      <w:r w:rsidRPr="008C0FF8">
        <w:t>Statistilite</w:t>
      </w:r>
      <w:proofErr w:type="spellEnd"/>
      <w:r w:rsidRPr="008C0FF8">
        <w:t xml:space="preserve"> 81: Transport 1995-2006,” Jerusalem, 2006.</w:t>
      </w:r>
      <w:proofErr w:type="gramEnd"/>
    </w:p>
    <w:p w:rsidR="007B1541" w:rsidRPr="007B1541" w:rsidRDefault="007B1541" w:rsidP="007B1541">
      <w:pPr>
        <w:pStyle w:val="NormalWeb"/>
        <w:spacing w:before="0" w:beforeAutospacing="0" w:after="0" w:afterAutospacing="0" w:line="264" w:lineRule="atLeast"/>
        <w:ind w:hanging="720"/>
      </w:pPr>
      <w:r>
        <w:t xml:space="preserve">Israel Ministry of Finance, “Report of the </w:t>
      </w:r>
      <w:proofErr w:type="spellStart"/>
      <w:r>
        <w:t>Interministerial</w:t>
      </w:r>
      <w:proofErr w:type="spellEnd"/>
      <w:r>
        <w:t xml:space="preserve"> Committee for Green Taxation.” 2008. URL: </w:t>
      </w:r>
      <w:hyperlink r:id="rId40" w:history="1">
        <w:r>
          <w:rPr>
            <w:rStyle w:val="Hyperlink"/>
          </w:rPr>
          <w:t>http://www.finance.gov.il/taxes/misui150108.pdf</w:t>
        </w:r>
      </w:hyperlink>
      <w:proofErr w:type="gramStart"/>
      <w:r>
        <w:t>.,</w:t>
      </w:r>
      <w:proofErr w:type="gramEnd"/>
      <w:r>
        <w:t xml:space="preserve"> accessed: 1.3.2010</w:t>
      </w:r>
    </w:p>
    <w:p w:rsidR="00301960" w:rsidRPr="00301960" w:rsidRDefault="00301960" w:rsidP="00301960">
      <w:pPr>
        <w:pStyle w:val="NormalWeb"/>
        <w:spacing w:before="0" w:beforeAutospacing="0" w:after="0" w:afterAutospacing="0" w:line="264" w:lineRule="atLeast"/>
        <w:ind w:hanging="720"/>
      </w:pPr>
      <w:proofErr w:type="spellStart"/>
      <w:r>
        <w:t>Katzev</w:t>
      </w:r>
      <w:proofErr w:type="spellEnd"/>
      <w:r>
        <w:t xml:space="preserve">, R. “Car sharing: A new approach to urban transportation problems.” </w:t>
      </w:r>
      <w:r>
        <w:rPr>
          <w:i/>
          <w:iCs/>
        </w:rPr>
        <w:t>Analyses of Social Issues and Public Policy</w:t>
      </w:r>
      <w:r>
        <w:t xml:space="preserve"> 3, no. 1 (2003): 65–86. </w:t>
      </w:r>
      <w:r>
        <w:rPr>
          <w:rStyle w:val="z3988"/>
        </w:rPr>
        <w:t> </w:t>
      </w:r>
    </w:p>
    <w:p w:rsidR="00AB00DA" w:rsidRDefault="00AB00DA" w:rsidP="00AB00DA">
      <w:pPr>
        <w:pStyle w:val="NormalWeb"/>
        <w:spacing w:before="0" w:beforeAutospacing="0" w:after="0" w:afterAutospacing="0" w:line="264" w:lineRule="atLeast"/>
        <w:ind w:hanging="720"/>
      </w:pPr>
      <w:proofErr w:type="spellStart"/>
      <w:r w:rsidRPr="008C0FF8">
        <w:t>Krietemeyer</w:t>
      </w:r>
      <w:proofErr w:type="spellEnd"/>
      <w:r w:rsidRPr="008C0FF8">
        <w:t xml:space="preserve">, </w:t>
      </w:r>
      <w:proofErr w:type="spellStart"/>
      <w:r w:rsidRPr="008C0FF8">
        <w:t>Hartmut</w:t>
      </w:r>
      <w:proofErr w:type="spellEnd"/>
      <w:r w:rsidRPr="008C0FF8">
        <w:t xml:space="preserve">. </w:t>
      </w:r>
      <w:r w:rsidRPr="00AB00DA">
        <w:rPr>
          <w:lang w:val="de-CH"/>
        </w:rPr>
        <w:t xml:space="preserve">“Auswirkungen von Car-Sharing auf die Nachfrage nach ÖPNV-Leistungen.” </w:t>
      </w:r>
      <w:r w:rsidRPr="00AB00DA">
        <w:rPr>
          <w:i/>
          <w:iCs/>
        </w:rPr>
        <w:t xml:space="preserve">Der </w:t>
      </w:r>
      <w:proofErr w:type="spellStart"/>
      <w:r w:rsidRPr="00AB00DA">
        <w:rPr>
          <w:i/>
          <w:iCs/>
        </w:rPr>
        <w:t>Nahverkehr</w:t>
      </w:r>
      <w:proofErr w:type="spellEnd"/>
      <w:r>
        <w:t>, September 1997.</w:t>
      </w:r>
    </w:p>
    <w:p w:rsidR="00A0299C" w:rsidRDefault="00A0299C" w:rsidP="00A0299C">
      <w:pPr>
        <w:pStyle w:val="NormalWeb"/>
        <w:spacing w:before="0" w:beforeAutospacing="0" w:after="0" w:afterAutospacing="0" w:line="264" w:lineRule="atLeast"/>
        <w:ind w:hanging="720"/>
      </w:pPr>
      <w:r>
        <w:t>Lane, C. “</w:t>
      </w:r>
      <w:proofErr w:type="spellStart"/>
      <w:r>
        <w:t>PhillyCarShare</w:t>
      </w:r>
      <w:proofErr w:type="spellEnd"/>
      <w:r>
        <w:t xml:space="preserve">: First-Year Social and Mobility Impacts of Carsharing in Philadelphia, Pennsylvania.” </w:t>
      </w:r>
      <w:r>
        <w:rPr>
          <w:i/>
          <w:iCs/>
        </w:rPr>
        <w:t>Transportation Research Record: Journal of the Transportation Research Board</w:t>
      </w:r>
      <w:r>
        <w:t xml:space="preserve"> 1927, no. -1 (2005): 158–166. </w:t>
      </w:r>
      <w:r>
        <w:rPr>
          <w:rStyle w:val="z3988"/>
        </w:rPr>
        <w:t> </w:t>
      </w:r>
    </w:p>
    <w:p w:rsidR="00A0299C" w:rsidRDefault="00A0299C" w:rsidP="00A0299C">
      <w:pPr>
        <w:pStyle w:val="NormalWeb"/>
        <w:spacing w:before="0" w:beforeAutospacing="0" w:after="0" w:afterAutospacing="0" w:line="264" w:lineRule="atLeast"/>
        <w:ind w:hanging="720"/>
      </w:pPr>
      <w:proofErr w:type="spellStart"/>
      <w:r>
        <w:lastRenderedPageBreak/>
        <w:t>Litman</w:t>
      </w:r>
      <w:proofErr w:type="spellEnd"/>
      <w:r>
        <w:t xml:space="preserve">, T. “Mobility </w:t>
      </w:r>
      <w:proofErr w:type="gramStart"/>
      <w:r>
        <w:t>As</w:t>
      </w:r>
      <w:proofErr w:type="gramEnd"/>
      <w:r>
        <w:t xml:space="preserve"> A Positional Good.” </w:t>
      </w:r>
      <w:proofErr w:type="gramStart"/>
      <w:r>
        <w:rPr>
          <w:i/>
          <w:iCs/>
        </w:rPr>
        <w:t>Implications for Transport Policy and Planning, Victoria Transport Policy Institute</w:t>
      </w:r>
      <w:r>
        <w:t xml:space="preserve"> (2007).</w:t>
      </w:r>
      <w:proofErr w:type="gramEnd"/>
      <w:r>
        <w:t xml:space="preserve"> </w:t>
      </w:r>
      <w:r>
        <w:rPr>
          <w:rStyle w:val="z3988"/>
        </w:rPr>
        <w:t> </w:t>
      </w:r>
    </w:p>
    <w:p w:rsidR="00A0299C" w:rsidRDefault="00A0299C" w:rsidP="00A0299C">
      <w:pPr>
        <w:pStyle w:val="NormalWeb"/>
        <w:spacing w:before="0" w:beforeAutospacing="0" w:after="0" w:afterAutospacing="0" w:line="264" w:lineRule="atLeast"/>
        <w:ind w:hanging="720"/>
      </w:pPr>
      <w:proofErr w:type="spellStart"/>
      <w:r>
        <w:t>Meijkamp</w:t>
      </w:r>
      <w:proofErr w:type="spellEnd"/>
      <w:r>
        <w:t xml:space="preserve">, R. “Changing consumer </w:t>
      </w:r>
      <w:proofErr w:type="spellStart"/>
      <w:r>
        <w:t>behaviour</w:t>
      </w:r>
      <w:proofErr w:type="spellEnd"/>
      <w:r>
        <w:t xml:space="preserve"> through eco-efficient services: an empirical study of car sharing in the Netherlands.” </w:t>
      </w:r>
      <w:r>
        <w:rPr>
          <w:i/>
          <w:iCs/>
        </w:rPr>
        <w:t>Business Strategy and the Environment</w:t>
      </w:r>
      <w:r>
        <w:t xml:space="preserve"> 7, no. 4 (1999): 234–244. </w:t>
      </w:r>
      <w:r>
        <w:rPr>
          <w:rStyle w:val="z3988"/>
        </w:rPr>
        <w:t> </w:t>
      </w:r>
    </w:p>
    <w:p w:rsidR="00A0299C" w:rsidRDefault="00A0299C" w:rsidP="00A0299C">
      <w:pPr>
        <w:pStyle w:val="NormalWeb"/>
        <w:spacing w:before="0" w:beforeAutospacing="0" w:after="0" w:afterAutospacing="0" w:line="264" w:lineRule="atLeast"/>
        <w:ind w:hanging="720"/>
      </w:pPr>
      <w:proofErr w:type="gramStart"/>
      <w:r>
        <w:t xml:space="preserve">Millard-Ball, A., G. Murray, J. </w:t>
      </w:r>
      <w:proofErr w:type="spellStart"/>
      <w:r>
        <w:t>Ter</w:t>
      </w:r>
      <w:proofErr w:type="spellEnd"/>
      <w:r>
        <w:t xml:space="preserve"> </w:t>
      </w:r>
      <w:proofErr w:type="spellStart"/>
      <w:r>
        <w:t>Schure</w:t>
      </w:r>
      <w:proofErr w:type="spellEnd"/>
      <w:r>
        <w:t xml:space="preserve">, C. Fox, and J. </w:t>
      </w:r>
      <w:proofErr w:type="spellStart"/>
      <w:r>
        <w:t>Burkhardt</w:t>
      </w:r>
      <w:proofErr w:type="spellEnd"/>
      <w:r>
        <w:t>.</w:t>
      </w:r>
      <w:proofErr w:type="gramEnd"/>
      <w:r>
        <w:t xml:space="preserve"> “TCRP Report 108: Car-Sharing: Where and How It Succeeds.” </w:t>
      </w:r>
      <w:proofErr w:type="gramStart"/>
      <w:r>
        <w:rPr>
          <w:i/>
          <w:iCs/>
        </w:rPr>
        <w:t>Transportation Research Board of the National Academies, Washington, DC</w:t>
      </w:r>
      <w:r>
        <w:t xml:space="preserve"> (2005).</w:t>
      </w:r>
      <w:proofErr w:type="gramEnd"/>
      <w:r>
        <w:t xml:space="preserve"> </w:t>
      </w:r>
      <w:r>
        <w:rPr>
          <w:rStyle w:val="z3988"/>
        </w:rPr>
        <w:t> </w:t>
      </w:r>
    </w:p>
    <w:p w:rsidR="00A0299C" w:rsidRDefault="00A0299C" w:rsidP="00A0299C">
      <w:pPr>
        <w:pStyle w:val="NormalWeb"/>
        <w:spacing w:before="0" w:beforeAutospacing="0" w:after="0" w:afterAutospacing="0" w:line="264" w:lineRule="atLeast"/>
        <w:ind w:hanging="720"/>
      </w:pPr>
      <w:r>
        <w:t>MOSES, UITP. “Bremen paper: Public transport and car-sharing: together for</w:t>
      </w:r>
      <w:r>
        <w:br/>
        <w:t>the better</w:t>
      </w:r>
      <w:proofErr w:type="gramStart"/>
      <w:r>
        <w:t>..”</w:t>
      </w:r>
      <w:proofErr w:type="gramEnd"/>
      <w:r>
        <w:t xml:space="preserve"> cited in Cairns et al.</w:t>
      </w:r>
    </w:p>
    <w:p w:rsidR="00A0299C" w:rsidRDefault="00A0299C" w:rsidP="00A0299C">
      <w:pPr>
        <w:pStyle w:val="NormalWeb"/>
        <w:spacing w:before="0" w:beforeAutospacing="0" w:after="0" w:afterAutospacing="0" w:line="264" w:lineRule="atLeast"/>
        <w:ind w:hanging="720"/>
      </w:pPr>
      <w:r w:rsidRPr="008C0FF8">
        <w:rPr>
          <w:lang w:val="de-CH"/>
        </w:rPr>
        <w:t xml:space="preserve">Muheim, P., and E. Reinhardt. </w:t>
      </w:r>
      <w:proofErr w:type="gramStart"/>
      <w:r>
        <w:t>“</w:t>
      </w:r>
      <w:proofErr w:type="spellStart"/>
      <w:r>
        <w:t>CarSharing</w:t>
      </w:r>
      <w:proofErr w:type="spellEnd"/>
      <w:r>
        <w:t>-the key to combined mobility.”</w:t>
      </w:r>
      <w:proofErr w:type="gramEnd"/>
      <w:r>
        <w:t xml:space="preserve"> </w:t>
      </w:r>
      <w:r>
        <w:rPr>
          <w:i/>
          <w:iCs/>
        </w:rPr>
        <w:t>World Transport Policy &amp; Practice</w:t>
      </w:r>
      <w:r>
        <w:t xml:space="preserve"> 5, no. 3 (1999): 58–71. </w:t>
      </w:r>
      <w:r>
        <w:rPr>
          <w:rStyle w:val="z3988"/>
        </w:rPr>
        <w:t> </w:t>
      </w:r>
    </w:p>
    <w:p w:rsidR="00A0299C" w:rsidRDefault="00A0299C" w:rsidP="00A0299C">
      <w:pPr>
        <w:pStyle w:val="NormalWeb"/>
        <w:spacing w:before="0" w:beforeAutospacing="0" w:after="0" w:afterAutospacing="0" w:line="264" w:lineRule="atLeast"/>
        <w:ind w:hanging="720"/>
      </w:pPr>
      <w:proofErr w:type="spellStart"/>
      <w:proofErr w:type="gramStart"/>
      <w:r w:rsidRPr="00BF3C38">
        <w:t>Prettenthaler</w:t>
      </w:r>
      <w:proofErr w:type="spellEnd"/>
      <w:r w:rsidRPr="00BF3C38">
        <w:t xml:space="preserve">, Franz E., and Karl W. </w:t>
      </w:r>
      <w:proofErr w:type="spellStart"/>
      <w:r w:rsidRPr="00BF3C38">
        <w:t>Steininger</w:t>
      </w:r>
      <w:proofErr w:type="spellEnd"/>
      <w:r w:rsidRPr="00BF3C38">
        <w:t>.</w:t>
      </w:r>
      <w:proofErr w:type="gramEnd"/>
      <w:r w:rsidRPr="00BF3C38">
        <w:t xml:space="preserve"> </w:t>
      </w:r>
      <w:r>
        <w:t xml:space="preserve">“From ownership to service use lifestyle: the potential of car sharing.” </w:t>
      </w:r>
      <w:r>
        <w:rPr>
          <w:i/>
          <w:iCs/>
        </w:rPr>
        <w:t>Ecological Economics</w:t>
      </w:r>
      <w:r>
        <w:t xml:space="preserve"> 28, no. 3 (March 1999): 443-453. </w:t>
      </w:r>
      <w:r>
        <w:rPr>
          <w:rStyle w:val="z3988"/>
        </w:rPr>
        <w:t> </w:t>
      </w:r>
    </w:p>
    <w:p w:rsidR="00A0299C" w:rsidRDefault="00A0299C" w:rsidP="00A0299C">
      <w:pPr>
        <w:pStyle w:val="NormalWeb"/>
        <w:spacing w:before="0" w:beforeAutospacing="0" w:after="0" w:afterAutospacing="0" w:line="264" w:lineRule="atLeast"/>
        <w:ind w:hanging="720"/>
      </w:pPr>
      <w:proofErr w:type="gramStart"/>
      <w:r>
        <w:t>Robert, C. P, and G. Casella.</w:t>
      </w:r>
      <w:proofErr w:type="gramEnd"/>
      <w:r>
        <w:t xml:space="preserve"> </w:t>
      </w:r>
      <w:proofErr w:type="gramStart"/>
      <w:r>
        <w:rPr>
          <w:i/>
          <w:iCs/>
        </w:rPr>
        <w:t>Monte Carlo statistical methods</w:t>
      </w:r>
      <w:r>
        <w:t>.</w:t>
      </w:r>
      <w:proofErr w:type="gramEnd"/>
      <w:r>
        <w:t xml:space="preserve"> Springer </w:t>
      </w:r>
      <w:proofErr w:type="spellStart"/>
      <w:r>
        <w:t>Verlag</w:t>
      </w:r>
      <w:proofErr w:type="spellEnd"/>
      <w:r>
        <w:t xml:space="preserve">, 2004. </w:t>
      </w:r>
      <w:r>
        <w:rPr>
          <w:rStyle w:val="z3988"/>
        </w:rPr>
        <w:t> </w:t>
      </w:r>
    </w:p>
    <w:p w:rsidR="00A0299C" w:rsidRDefault="00A0299C" w:rsidP="00A0299C">
      <w:pPr>
        <w:pStyle w:val="NormalWeb"/>
        <w:spacing w:before="0" w:beforeAutospacing="0" w:after="0" w:afterAutospacing="0" w:line="264" w:lineRule="atLeast"/>
        <w:ind w:hanging="720"/>
      </w:pPr>
      <w:proofErr w:type="spellStart"/>
      <w:proofErr w:type="gramStart"/>
      <w:r>
        <w:t>Rydén</w:t>
      </w:r>
      <w:proofErr w:type="spellEnd"/>
      <w:r>
        <w:t>, C., and E. Morin.</w:t>
      </w:r>
      <w:proofErr w:type="gramEnd"/>
      <w:r>
        <w:t xml:space="preserve"> </w:t>
      </w:r>
      <w:proofErr w:type="gramStart"/>
      <w:r>
        <w:rPr>
          <w:i/>
          <w:iCs/>
        </w:rPr>
        <w:t>Mobility Services for Urban Sustainability.</w:t>
      </w:r>
      <w:proofErr w:type="gramEnd"/>
      <w:r>
        <w:rPr>
          <w:i/>
          <w:iCs/>
        </w:rPr>
        <w:t xml:space="preserve"> </w:t>
      </w:r>
      <w:proofErr w:type="gramStart"/>
      <w:r>
        <w:rPr>
          <w:i/>
          <w:iCs/>
        </w:rPr>
        <w:t>Environmental Assessment.</w:t>
      </w:r>
      <w:proofErr w:type="gramEnd"/>
      <w:r>
        <w:rPr>
          <w:i/>
          <w:iCs/>
        </w:rPr>
        <w:t xml:space="preserve"> Report WP 6</w:t>
      </w:r>
      <w:r>
        <w:t xml:space="preserve">. </w:t>
      </w:r>
      <w:proofErr w:type="spellStart"/>
      <w:r>
        <w:t>Trivector</w:t>
      </w:r>
      <w:proofErr w:type="spellEnd"/>
      <w:r>
        <w:t xml:space="preserve"> Traffic AB. Stockholm, Sweden, January, 2005. </w:t>
      </w:r>
      <w:r>
        <w:rPr>
          <w:rStyle w:val="z3988"/>
        </w:rPr>
        <w:t> </w:t>
      </w:r>
    </w:p>
    <w:p w:rsidR="000723B8" w:rsidRDefault="000723B8" w:rsidP="000723B8">
      <w:pPr>
        <w:pStyle w:val="NormalWeb"/>
        <w:spacing w:before="0" w:beforeAutospacing="0" w:after="0" w:afterAutospacing="0" w:line="264" w:lineRule="atLeast"/>
        <w:ind w:hanging="720"/>
      </w:pPr>
      <w:r w:rsidRPr="000723B8">
        <w:rPr>
          <w:lang w:val="de-CH"/>
        </w:rPr>
        <w:t xml:space="preserve">Schuster, T. D, J. Byrne, J. Corbett, and Y. Schreuder. </w:t>
      </w:r>
      <w:proofErr w:type="gramStart"/>
      <w:r>
        <w:t>“Assessing the Potential Extent of Carsharing.”</w:t>
      </w:r>
      <w:proofErr w:type="gramEnd"/>
      <w:r>
        <w:t xml:space="preserve"> </w:t>
      </w:r>
      <w:r>
        <w:rPr>
          <w:i/>
          <w:iCs/>
        </w:rPr>
        <w:t>Transportation Research Record: Journal of the Transportation Research Board</w:t>
      </w:r>
      <w:r>
        <w:t xml:space="preserve"> No. 1927, 6: 15. Washington D.C. </w:t>
      </w:r>
      <w:r>
        <w:rPr>
          <w:rStyle w:val="z3988"/>
        </w:rPr>
        <w:t> </w:t>
      </w:r>
    </w:p>
    <w:p w:rsidR="00A0299C" w:rsidRDefault="00A0299C" w:rsidP="000723B8">
      <w:pPr>
        <w:pStyle w:val="NormalWeb"/>
        <w:spacing w:before="0" w:beforeAutospacing="0" w:after="0" w:afterAutospacing="0" w:line="264" w:lineRule="atLeast"/>
        <w:ind w:hanging="720"/>
      </w:pPr>
      <w:proofErr w:type="spellStart"/>
      <w:proofErr w:type="gramStart"/>
      <w:r>
        <w:t>Shaheen</w:t>
      </w:r>
      <w:proofErr w:type="spellEnd"/>
      <w:r>
        <w:t xml:space="preserve">, S., D. </w:t>
      </w:r>
      <w:proofErr w:type="spellStart"/>
      <w:r>
        <w:t>Sperling</w:t>
      </w:r>
      <w:proofErr w:type="spellEnd"/>
      <w:r>
        <w:t>, and C. Wagner.</w:t>
      </w:r>
      <w:proofErr w:type="gramEnd"/>
      <w:r>
        <w:t xml:space="preserve"> “Carsharing in Europe and North America: past, present, and future.” </w:t>
      </w:r>
      <w:r>
        <w:rPr>
          <w:i/>
          <w:iCs/>
        </w:rPr>
        <w:t>Transportation Quarterly</w:t>
      </w:r>
      <w:r>
        <w:t xml:space="preserve"> 52 (1998): 35–52. </w:t>
      </w:r>
      <w:r>
        <w:rPr>
          <w:rStyle w:val="z3988"/>
        </w:rPr>
        <w:t> </w:t>
      </w:r>
    </w:p>
    <w:p w:rsidR="00A0299C" w:rsidRDefault="00A0299C" w:rsidP="00A0299C">
      <w:pPr>
        <w:pStyle w:val="NormalWeb"/>
        <w:spacing w:before="0" w:beforeAutospacing="0" w:after="0" w:afterAutospacing="0" w:line="264" w:lineRule="atLeast"/>
        <w:ind w:hanging="720"/>
      </w:pPr>
      <w:proofErr w:type="spellStart"/>
      <w:proofErr w:type="gramStart"/>
      <w:r>
        <w:t>Shaheen</w:t>
      </w:r>
      <w:proofErr w:type="spellEnd"/>
      <w:r>
        <w:t>, S.</w:t>
      </w:r>
      <w:proofErr w:type="gramEnd"/>
      <w:r>
        <w:t xml:space="preserve"> </w:t>
      </w:r>
      <w:proofErr w:type="gramStart"/>
      <w:r>
        <w:t>A, and A. P Cohen.</w:t>
      </w:r>
      <w:proofErr w:type="gramEnd"/>
      <w:r>
        <w:t xml:space="preserve"> “Worldwide Carsharing Growth: An International Comparison.” </w:t>
      </w:r>
      <w:r>
        <w:rPr>
          <w:i/>
          <w:iCs/>
        </w:rPr>
        <w:t xml:space="preserve">UC Davis: Institute of Transportation Studies. </w:t>
      </w:r>
      <w:proofErr w:type="gramStart"/>
      <w:r>
        <w:rPr>
          <w:i/>
          <w:iCs/>
        </w:rPr>
        <w:t xml:space="preserve">Retrieved from: </w:t>
      </w:r>
      <w:hyperlink r:id="rId41" w:history="1">
        <w:r>
          <w:rPr>
            <w:rStyle w:val="Hyperlink"/>
            <w:i/>
            <w:iCs/>
          </w:rPr>
          <w:t>http://www</w:t>
        </w:r>
      </w:hyperlink>
      <w:r>
        <w:rPr>
          <w:i/>
          <w:iCs/>
        </w:rPr>
        <w:t>.</w:t>
      </w:r>
      <w:proofErr w:type="gramEnd"/>
      <w:r>
        <w:rPr>
          <w:i/>
          <w:iCs/>
        </w:rPr>
        <w:t xml:space="preserve"> </w:t>
      </w:r>
      <w:proofErr w:type="spellStart"/>
      <w:proofErr w:type="gramStart"/>
      <w:r>
        <w:rPr>
          <w:i/>
          <w:iCs/>
        </w:rPr>
        <w:t>escholarship</w:t>
      </w:r>
      <w:proofErr w:type="spellEnd"/>
      <w:proofErr w:type="gramEnd"/>
      <w:r>
        <w:rPr>
          <w:i/>
          <w:iCs/>
        </w:rPr>
        <w:t xml:space="preserve">. </w:t>
      </w:r>
      <w:proofErr w:type="gramStart"/>
      <w:r>
        <w:rPr>
          <w:i/>
          <w:iCs/>
        </w:rPr>
        <w:t>org/</w:t>
      </w:r>
      <w:proofErr w:type="spellStart"/>
      <w:r>
        <w:rPr>
          <w:i/>
          <w:iCs/>
        </w:rPr>
        <w:t>uc</w:t>
      </w:r>
      <w:proofErr w:type="spellEnd"/>
      <w:r>
        <w:rPr>
          <w:i/>
          <w:iCs/>
        </w:rPr>
        <w:t>/item/1139r2m5</w:t>
      </w:r>
      <w:proofErr w:type="gramEnd"/>
      <w:r>
        <w:t xml:space="preserve"> (2008). </w:t>
      </w:r>
      <w:r>
        <w:rPr>
          <w:rStyle w:val="z3988"/>
        </w:rPr>
        <w:t> </w:t>
      </w:r>
    </w:p>
    <w:p w:rsidR="00A0299C" w:rsidRDefault="00A0299C" w:rsidP="00A0299C">
      <w:pPr>
        <w:pStyle w:val="NormalWeb"/>
        <w:spacing w:before="0" w:beforeAutospacing="0" w:after="0" w:afterAutospacing="0" w:line="264" w:lineRule="atLeast"/>
        <w:ind w:hanging="720"/>
      </w:pPr>
      <w:r w:rsidRPr="00A0299C">
        <w:rPr>
          <w:lang w:val="de-CH"/>
        </w:rPr>
        <w:t xml:space="preserve">Steininger, K., C. Vogl, and R. Zettl. </w:t>
      </w:r>
      <w:r>
        <w:t>“Car-sharing organizations</w:t>
      </w:r>
      <w:proofErr w:type="gramStart"/>
      <w:r>
        <w:t>::</w:t>
      </w:r>
      <w:proofErr w:type="gramEnd"/>
      <w:r>
        <w:t xml:space="preserve"> The size of the market segment and revealed change in mobility behavior.” </w:t>
      </w:r>
      <w:r>
        <w:rPr>
          <w:i/>
          <w:iCs/>
        </w:rPr>
        <w:t>Transport Policy</w:t>
      </w:r>
      <w:r>
        <w:t xml:space="preserve"> 3, no. 4 (1996): 177–185. </w:t>
      </w:r>
      <w:r>
        <w:rPr>
          <w:rStyle w:val="z3988"/>
        </w:rPr>
        <w:t> </w:t>
      </w:r>
    </w:p>
    <w:p w:rsidR="000A11C4" w:rsidRDefault="000A11C4" w:rsidP="000A11C4">
      <w:pPr>
        <w:pStyle w:val="NormalWeb"/>
        <w:spacing w:before="0" w:beforeAutospacing="0" w:after="0" w:afterAutospacing="0" w:line="264" w:lineRule="atLeast"/>
        <w:ind w:hanging="720"/>
      </w:pPr>
      <w:proofErr w:type="spellStart"/>
      <w:r>
        <w:t>Thogersen</w:t>
      </w:r>
      <w:proofErr w:type="spellEnd"/>
      <w:r>
        <w:t xml:space="preserve">, John. “Understanding repetitive travel mode choices in a stable context: A panel study approach.” </w:t>
      </w:r>
      <w:r>
        <w:rPr>
          <w:i/>
          <w:iCs/>
        </w:rPr>
        <w:t>Transportation Research Part A: Policy and Practice</w:t>
      </w:r>
      <w:r>
        <w:t xml:space="preserve"> 40, no. 8 (2006): 621–638. </w:t>
      </w:r>
      <w:r>
        <w:rPr>
          <w:rStyle w:val="z3988"/>
        </w:rPr>
        <w:t> </w:t>
      </w:r>
    </w:p>
    <w:p w:rsidR="00A0299C" w:rsidRDefault="00A0299C" w:rsidP="00A0299C">
      <w:pPr>
        <w:pStyle w:val="NormalWeb"/>
        <w:spacing w:before="0" w:beforeAutospacing="0" w:after="0" w:afterAutospacing="0" w:line="264" w:lineRule="atLeast"/>
        <w:ind w:hanging="720"/>
      </w:pPr>
      <w:proofErr w:type="spellStart"/>
      <w:proofErr w:type="gramStart"/>
      <w:r>
        <w:t>Tukker</w:t>
      </w:r>
      <w:proofErr w:type="spellEnd"/>
      <w:r>
        <w:t xml:space="preserve">, Arnold, and Ursula </w:t>
      </w:r>
      <w:proofErr w:type="spellStart"/>
      <w:r>
        <w:t>Tischner</w:t>
      </w:r>
      <w:proofErr w:type="spellEnd"/>
      <w:r>
        <w:t>.</w:t>
      </w:r>
      <w:proofErr w:type="gramEnd"/>
      <w:r>
        <w:t xml:space="preserve"> “Product-services as a research field: past, present and future. </w:t>
      </w:r>
      <w:proofErr w:type="gramStart"/>
      <w:r>
        <w:t>Reflections from a decade of research.”</w:t>
      </w:r>
      <w:proofErr w:type="gramEnd"/>
      <w:r>
        <w:t xml:space="preserve"> </w:t>
      </w:r>
      <w:r>
        <w:rPr>
          <w:i/>
          <w:iCs/>
        </w:rPr>
        <w:t>Journal of Cleaner Production</w:t>
      </w:r>
      <w:r>
        <w:t xml:space="preserve"> 14, no. 17 (2006): 1552-1556. </w:t>
      </w:r>
      <w:r>
        <w:rPr>
          <w:rStyle w:val="z3988"/>
        </w:rPr>
        <w:t> </w:t>
      </w:r>
    </w:p>
    <w:p w:rsidR="00A0299C" w:rsidRDefault="00A0299C" w:rsidP="00A0299C">
      <w:pPr>
        <w:pStyle w:val="NormalWeb"/>
        <w:spacing w:before="0" w:beforeAutospacing="0" w:after="0" w:afterAutospacing="0" w:line="264" w:lineRule="atLeast"/>
        <w:ind w:hanging="720"/>
      </w:pPr>
      <w:proofErr w:type="spellStart"/>
      <w:r>
        <w:t>Ueli</w:t>
      </w:r>
      <w:proofErr w:type="spellEnd"/>
      <w:r>
        <w:t xml:space="preserve"> </w:t>
      </w:r>
      <w:proofErr w:type="spellStart"/>
      <w:proofErr w:type="gramStart"/>
      <w:r>
        <w:t>Haefeli</w:t>
      </w:r>
      <w:proofErr w:type="spellEnd"/>
      <w:r>
        <w:t>,</w:t>
      </w:r>
      <w:proofErr w:type="gramEnd"/>
      <w:r>
        <w:t xml:space="preserve"> and Daniel </w:t>
      </w:r>
      <w:proofErr w:type="spellStart"/>
      <w:r>
        <w:t>Matti</w:t>
      </w:r>
      <w:proofErr w:type="spellEnd"/>
      <w:r>
        <w:t xml:space="preserve">. </w:t>
      </w:r>
      <w:proofErr w:type="gramStart"/>
      <w:r>
        <w:t>“Evaluation Car-Sharing.”</w:t>
      </w:r>
      <w:proofErr w:type="gramEnd"/>
      <w:r>
        <w:t xml:space="preserve"> </w:t>
      </w:r>
      <w:proofErr w:type="spellStart"/>
      <w:proofErr w:type="gramStart"/>
      <w:r>
        <w:t>Bundesamt</w:t>
      </w:r>
      <w:proofErr w:type="spellEnd"/>
      <w:r>
        <w:t xml:space="preserve"> </w:t>
      </w:r>
      <w:proofErr w:type="spellStart"/>
      <w:r>
        <w:t>für</w:t>
      </w:r>
      <w:proofErr w:type="spellEnd"/>
      <w:r>
        <w:t xml:space="preserve"> </w:t>
      </w:r>
      <w:proofErr w:type="spellStart"/>
      <w:r>
        <w:t>Energie</w:t>
      </w:r>
      <w:proofErr w:type="spellEnd"/>
      <w:r>
        <w:t xml:space="preserve"> BFE, 2006.</w:t>
      </w:r>
      <w:proofErr w:type="gramEnd"/>
    </w:p>
    <w:p w:rsidR="00AF3280" w:rsidRDefault="00A0299C" w:rsidP="00E3749A">
      <w:pPr>
        <w:pStyle w:val="NormalWeb"/>
        <w:spacing w:before="0" w:beforeAutospacing="0" w:after="0" w:afterAutospacing="0" w:line="264" w:lineRule="atLeast"/>
        <w:ind w:hanging="720"/>
      </w:pPr>
      <w:proofErr w:type="gramStart"/>
      <w:r>
        <w:t>US Department of Transportation.</w:t>
      </w:r>
      <w:proofErr w:type="gramEnd"/>
      <w:r>
        <w:t xml:space="preserve"> </w:t>
      </w:r>
      <w:proofErr w:type="gramStart"/>
      <w:r>
        <w:t>“National Household Travel Survey 2009,” 2010.</w:t>
      </w:r>
      <w:proofErr w:type="gramEnd"/>
      <w:r>
        <w:t xml:space="preserve"> </w:t>
      </w:r>
      <w:hyperlink r:id="rId42" w:history="1">
        <w:r>
          <w:rPr>
            <w:rStyle w:val="Hyperlink"/>
          </w:rPr>
          <w:t>http://nhts.ornl.gov</w:t>
        </w:r>
      </w:hyperlink>
      <w:proofErr w:type="gramStart"/>
      <w:r>
        <w:t>.</w:t>
      </w:r>
      <w:r w:rsidR="000723B8">
        <w:t>,</w:t>
      </w:r>
      <w:proofErr w:type="gramEnd"/>
      <w:r w:rsidR="000723B8">
        <w:t xml:space="preserve"> accessed: 1.2.2010</w:t>
      </w:r>
    </w:p>
    <w:p w:rsidR="009C4D95" w:rsidRDefault="009C4D95" w:rsidP="009C4D95">
      <w:pPr>
        <w:pStyle w:val="NormalWeb"/>
        <w:spacing w:before="0" w:beforeAutospacing="0" w:after="0" w:afterAutospacing="0" w:line="264" w:lineRule="atLeast"/>
        <w:ind w:hanging="720"/>
      </w:pPr>
      <w:proofErr w:type="gramStart"/>
      <w:r>
        <w:t>“YASAI Manual.”</w:t>
      </w:r>
      <w:proofErr w:type="gramEnd"/>
      <w:r>
        <w:t xml:space="preserve"> </w:t>
      </w:r>
      <w:r w:rsidR="000723B8">
        <w:t xml:space="preserve">URL: </w:t>
      </w:r>
      <w:hyperlink r:id="rId43" w:history="1">
        <w:r>
          <w:rPr>
            <w:rStyle w:val="Hyperlink"/>
          </w:rPr>
          <w:t>http://www.yasai.rutgers.edu/</w:t>
        </w:r>
      </w:hyperlink>
      <w:r>
        <w:t>.</w:t>
      </w:r>
      <w:r w:rsidR="000723B8" w:rsidRPr="000723B8">
        <w:t xml:space="preserve"> </w:t>
      </w:r>
      <w:proofErr w:type="gramStart"/>
      <w:r w:rsidR="000723B8">
        <w:t>accessed</w:t>
      </w:r>
      <w:proofErr w:type="gramEnd"/>
      <w:r w:rsidR="000723B8">
        <w:t>: 1.3.2010</w:t>
      </w:r>
    </w:p>
    <w:p w:rsidR="009C4D95" w:rsidRDefault="009C4D95" w:rsidP="00E3749A">
      <w:pPr>
        <w:pStyle w:val="NormalWeb"/>
        <w:spacing w:before="0" w:beforeAutospacing="0" w:after="0" w:afterAutospacing="0" w:line="264" w:lineRule="atLeast"/>
        <w:ind w:hanging="720"/>
      </w:pPr>
    </w:p>
    <w:sectPr w:rsidR="009C4D95" w:rsidSect="00A0299C">
      <w:pgSz w:w="12240" w:h="15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E65" w:rsidRDefault="00C64E65">
      <w:r>
        <w:separator/>
      </w:r>
    </w:p>
  </w:endnote>
  <w:endnote w:type="continuationSeparator" w:id="0">
    <w:p w:rsidR="00C64E65" w:rsidRDefault="00C64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OpenSymbol">
    <w:altName w:val="Arial Unicode MS"/>
    <w:charset w:val="80"/>
    <w:family w:val="auto"/>
    <w:pitch w:val="default"/>
  </w:font>
  <w:font w:name="DejaVu Sans">
    <w:altName w:val="MS Mincho"/>
    <w:charset w:val="8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achlieli CLM">
    <w:altName w:val="MS Mincho"/>
    <w:charset w:val="80"/>
    <w:family w:val="auto"/>
    <w:pitch w:val="variable"/>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4114"/>
      <w:docPartObj>
        <w:docPartGallery w:val="Page Numbers (Bottom of Page)"/>
        <w:docPartUnique/>
      </w:docPartObj>
    </w:sdtPr>
    <w:sdtEndPr/>
    <w:sdtContent>
      <w:p w:rsidR="00DA4DCC" w:rsidRDefault="00DA4DCC" w:rsidP="003D6255">
        <w:pPr>
          <w:pStyle w:val="Footer"/>
          <w:jc w:val="right"/>
        </w:pPr>
        <w:r>
          <w:t xml:space="preserve"> </w:t>
        </w:r>
        <w:r>
          <w:fldChar w:fldCharType="begin"/>
        </w:r>
        <w:r>
          <w:instrText xml:space="preserve"> PAGE   \* MERGEFORMAT </w:instrText>
        </w:r>
        <w:r>
          <w:fldChar w:fldCharType="separate"/>
        </w:r>
        <w:r w:rsidR="00D67681">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E65" w:rsidRDefault="00C64E65">
      <w:r>
        <w:separator/>
      </w:r>
    </w:p>
  </w:footnote>
  <w:footnote w:type="continuationSeparator" w:id="0">
    <w:p w:rsidR="00C64E65" w:rsidRDefault="00C64E65">
      <w:r>
        <w:continuationSeparator/>
      </w:r>
    </w:p>
  </w:footnote>
  <w:footnote w:id="1">
    <w:p w:rsidR="00DA4DCC" w:rsidRDefault="00DA4DCC" w:rsidP="00A42A42">
      <w:pPr>
        <w:pStyle w:val="FootnoteText"/>
        <w:spacing w:line="240" w:lineRule="auto"/>
      </w:pPr>
      <w:r>
        <w:rPr>
          <w:rStyle w:val="FootnoteReference"/>
        </w:rPr>
        <w:footnoteRef/>
      </w:r>
      <w:r>
        <w:t xml:space="preserve"> </w:t>
      </w:r>
      <w:proofErr w:type="spellStart"/>
      <w:r>
        <w:t>Shaheen</w:t>
      </w:r>
      <w:proofErr w:type="spellEnd"/>
      <w:r>
        <w:t xml:space="preserve"> and Cohen</w:t>
      </w:r>
    </w:p>
  </w:footnote>
  <w:footnote w:id="2">
    <w:p w:rsidR="00DA4DCC" w:rsidRDefault="00DA4DCC" w:rsidP="00E3749A">
      <w:pPr>
        <w:pStyle w:val="FootnoteText"/>
        <w:spacing w:line="240" w:lineRule="auto"/>
      </w:pPr>
      <w:r w:rsidRPr="00174330">
        <w:footnoteRef/>
      </w:r>
      <w:r>
        <w:t xml:space="preserve"> </w:t>
      </w:r>
      <w:proofErr w:type="spellStart"/>
      <w:r>
        <w:t>Shaheen</w:t>
      </w:r>
      <w:proofErr w:type="spellEnd"/>
      <w:r>
        <w:t xml:space="preserve"> and Cohen</w:t>
      </w:r>
    </w:p>
  </w:footnote>
  <w:footnote w:id="3">
    <w:p w:rsidR="00DA4DCC" w:rsidRPr="004B1E6F" w:rsidRDefault="00DA4DCC" w:rsidP="00E3749A">
      <w:pPr>
        <w:pStyle w:val="FootnoteText"/>
        <w:spacing w:line="240" w:lineRule="auto"/>
        <w:rPr>
          <w:lang w:val="de-CH"/>
        </w:rPr>
      </w:pPr>
      <w:r>
        <w:rPr>
          <w:rStyle w:val="FootnoteReference"/>
        </w:rPr>
        <w:footnoteRef/>
      </w:r>
      <w:r w:rsidRPr="004B1E6F">
        <w:rPr>
          <w:lang w:val="de-CH"/>
        </w:rPr>
        <w:t xml:space="preserve"> </w:t>
      </w:r>
      <w:r w:rsidRPr="004B1E6F">
        <w:rPr>
          <w:lang w:val="de-CH"/>
        </w:rPr>
        <w:t>Cohen, Shaheen and McKenzie</w:t>
      </w:r>
    </w:p>
  </w:footnote>
  <w:footnote w:id="4">
    <w:p w:rsidR="00DA4DCC" w:rsidRPr="004B1E6F" w:rsidRDefault="00DA4DCC" w:rsidP="001E31DE">
      <w:pPr>
        <w:pStyle w:val="FootnoteText"/>
        <w:spacing w:line="240" w:lineRule="auto"/>
        <w:rPr>
          <w:lang w:val="de-CH"/>
        </w:rPr>
      </w:pPr>
      <w:r>
        <w:rPr>
          <w:rStyle w:val="FootnoteReference"/>
        </w:rPr>
        <w:footnoteRef/>
      </w:r>
      <w:r w:rsidRPr="004B1E6F">
        <w:rPr>
          <w:lang w:val="de-CH"/>
        </w:rPr>
        <w:t xml:space="preserve"> </w:t>
      </w:r>
      <w:r w:rsidRPr="004B1E6F">
        <w:rPr>
          <w:lang w:val="de-CH"/>
        </w:rPr>
        <w:t>Muheim</w:t>
      </w:r>
    </w:p>
  </w:footnote>
  <w:footnote w:id="5">
    <w:p w:rsidR="00DA4DCC" w:rsidRPr="00DF1AE7" w:rsidRDefault="00DA4DCC" w:rsidP="00DF1AE7">
      <w:pPr>
        <w:pStyle w:val="FootnoteText"/>
        <w:spacing w:line="240" w:lineRule="auto"/>
        <w:rPr>
          <w:lang w:val="de-CH"/>
        </w:rPr>
      </w:pPr>
      <w:r>
        <w:rPr>
          <w:rStyle w:val="FootnoteReference"/>
        </w:rPr>
        <w:footnoteRef/>
      </w:r>
      <w:r w:rsidRPr="00DF1AE7">
        <w:rPr>
          <w:lang w:val="de-CH"/>
        </w:rPr>
        <w:t xml:space="preserve"> </w:t>
      </w:r>
      <w:r w:rsidRPr="00DF1AE7">
        <w:rPr>
          <w:lang w:val="de-CH"/>
        </w:rPr>
        <w:t xml:space="preserve">Harm, Polk, </w:t>
      </w:r>
      <w:r>
        <w:rPr>
          <w:lang w:val="de-CH"/>
        </w:rPr>
        <w:t>Muheim, Prettenthaler</w:t>
      </w:r>
      <w:r w:rsidRPr="00DF1AE7">
        <w:rPr>
          <w:lang w:val="de-CH"/>
        </w:rPr>
        <w:t>, Millard-Ball et al.</w:t>
      </w:r>
    </w:p>
  </w:footnote>
  <w:footnote w:id="6">
    <w:p w:rsidR="00DA4DCC" w:rsidRDefault="00DA4DCC" w:rsidP="001E31DE">
      <w:pPr>
        <w:pStyle w:val="FootnoteText"/>
        <w:spacing w:line="240" w:lineRule="auto"/>
      </w:pPr>
      <w:r>
        <w:rPr>
          <w:rStyle w:val="FootnoteReference"/>
        </w:rPr>
        <w:footnoteRef/>
      </w:r>
      <w:r>
        <w:t xml:space="preserve"> </w:t>
      </w:r>
      <w:proofErr w:type="spellStart"/>
      <w:r>
        <w:t>Celsor</w:t>
      </w:r>
      <w:proofErr w:type="spellEnd"/>
      <w:r>
        <w:t>, Millard-Ball et al.</w:t>
      </w:r>
    </w:p>
  </w:footnote>
  <w:footnote w:id="7">
    <w:p w:rsidR="00DA4DCC" w:rsidRDefault="00DA4DCC" w:rsidP="00B80A8F">
      <w:pPr>
        <w:pStyle w:val="FootnoteText"/>
        <w:spacing w:line="240" w:lineRule="auto"/>
      </w:pPr>
      <w:r>
        <w:rPr>
          <w:rStyle w:val="FootnoteReference"/>
        </w:rPr>
        <w:footnoteRef/>
      </w:r>
      <w:r>
        <w:t xml:space="preserve"> </w:t>
      </w:r>
      <w:proofErr w:type="spellStart"/>
      <w:r>
        <w:t>Heshev</w:t>
      </w:r>
      <w:proofErr w:type="spellEnd"/>
    </w:p>
  </w:footnote>
  <w:footnote w:id="8">
    <w:p w:rsidR="00DA4DCC" w:rsidRDefault="00DA4DCC" w:rsidP="00493A00">
      <w:pPr>
        <w:pStyle w:val="FootnoteText"/>
        <w:spacing w:line="240" w:lineRule="auto"/>
      </w:pPr>
      <w:r>
        <w:rPr>
          <w:rStyle w:val="FootnoteReference"/>
        </w:rPr>
        <w:footnoteRef/>
      </w:r>
      <w:r>
        <w:t xml:space="preserve"> Barter</w:t>
      </w:r>
    </w:p>
  </w:footnote>
  <w:footnote w:id="9">
    <w:p w:rsidR="00DA4DCC" w:rsidRDefault="00DA4DCC" w:rsidP="001E31DE">
      <w:pPr>
        <w:pStyle w:val="FootnoteText"/>
        <w:spacing w:line="240" w:lineRule="auto"/>
      </w:pPr>
      <w:r>
        <w:rPr>
          <w:rStyle w:val="FootnoteReference"/>
        </w:rPr>
        <w:footnoteRef/>
      </w:r>
      <w:r>
        <w:t xml:space="preserve"> Harms</w:t>
      </w:r>
    </w:p>
  </w:footnote>
  <w:footnote w:id="10">
    <w:p w:rsidR="00DA4DCC" w:rsidRDefault="00DA4DCC" w:rsidP="00E3749A">
      <w:pPr>
        <w:pStyle w:val="FootnoteText"/>
        <w:spacing w:line="240" w:lineRule="auto"/>
      </w:pPr>
      <w:r>
        <w:rPr>
          <w:rStyle w:val="FootnoteReference"/>
        </w:rPr>
        <w:footnoteRef/>
      </w:r>
      <w:r>
        <w:t xml:space="preserve"> </w:t>
      </w:r>
      <w:proofErr w:type="gramStart"/>
      <w:r>
        <w:t>Millard-Ball et al.</w:t>
      </w:r>
      <w:proofErr w:type="gramEnd"/>
    </w:p>
  </w:footnote>
  <w:footnote w:id="11">
    <w:p w:rsidR="00DA4DCC" w:rsidRDefault="00DA4DCC" w:rsidP="00E3749A">
      <w:pPr>
        <w:pStyle w:val="FootnoteText"/>
        <w:spacing w:line="240" w:lineRule="auto"/>
      </w:pPr>
      <w:r>
        <w:rPr>
          <w:rStyle w:val="FootnoteReference"/>
        </w:rPr>
        <w:footnoteRef/>
      </w:r>
      <w:r>
        <w:t xml:space="preserve"> Cohen, </w:t>
      </w:r>
      <w:proofErr w:type="spellStart"/>
      <w:r>
        <w:t>Shaheen</w:t>
      </w:r>
      <w:proofErr w:type="spellEnd"/>
      <w:r>
        <w:t xml:space="preserve"> and McKenzie</w:t>
      </w:r>
    </w:p>
  </w:footnote>
  <w:footnote w:id="12">
    <w:p w:rsidR="00DA4DCC" w:rsidRDefault="00DA4DCC" w:rsidP="00167384">
      <w:pPr>
        <w:pStyle w:val="FootnoteText"/>
        <w:spacing w:line="240" w:lineRule="auto"/>
      </w:pPr>
      <w:r>
        <w:rPr>
          <w:rStyle w:val="FootnoteReference"/>
        </w:rPr>
        <w:footnoteRef/>
      </w:r>
      <w:r>
        <w:t xml:space="preserve"> </w:t>
      </w:r>
      <w:proofErr w:type="gramStart"/>
      <w:r>
        <w:t>Millard-Ball et al.</w:t>
      </w:r>
      <w:proofErr w:type="gramEnd"/>
    </w:p>
  </w:footnote>
  <w:footnote w:id="13">
    <w:p w:rsidR="00DA4DCC" w:rsidRDefault="00DA4DCC" w:rsidP="00AB00DA">
      <w:pPr>
        <w:pStyle w:val="FootnoteText"/>
        <w:spacing w:line="240" w:lineRule="auto"/>
      </w:pPr>
      <w:r>
        <w:rPr>
          <w:rStyle w:val="FootnoteReference"/>
        </w:rPr>
        <w:footnoteRef/>
      </w:r>
      <w:r>
        <w:t xml:space="preserve"> </w:t>
      </w:r>
      <w:proofErr w:type="gramStart"/>
      <w:r>
        <w:t>Millard-Ball et al.</w:t>
      </w:r>
      <w:proofErr w:type="gramEnd"/>
    </w:p>
  </w:footnote>
  <w:footnote w:id="14">
    <w:p w:rsidR="00DA4DCC" w:rsidRDefault="00DA4DCC" w:rsidP="00AB00DA">
      <w:pPr>
        <w:pStyle w:val="FootnoteText"/>
        <w:spacing w:line="240" w:lineRule="auto"/>
      </w:pPr>
      <w:r>
        <w:rPr>
          <w:rStyle w:val="FootnoteReference"/>
        </w:rPr>
        <w:footnoteRef/>
      </w:r>
      <w:r>
        <w:t xml:space="preserve"> Millard-Ball et al., </w:t>
      </w:r>
      <w:proofErr w:type="spellStart"/>
      <w:r>
        <w:t>Shaheen</w:t>
      </w:r>
      <w:proofErr w:type="spellEnd"/>
      <w:r>
        <w:t xml:space="preserve"> and Cohen, </w:t>
      </w:r>
      <w:proofErr w:type="spellStart"/>
      <w:r>
        <w:t>Mejkamp</w:t>
      </w:r>
      <w:proofErr w:type="spellEnd"/>
      <w:r>
        <w:t xml:space="preserve">, </w:t>
      </w:r>
      <w:proofErr w:type="spellStart"/>
      <w:r>
        <w:t>Ryden</w:t>
      </w:r>
      <w:proofErr w:type="spellEnd"/>
      <w:r>
        <w:t xml:space="preserve"> and Morin</w:t>
      </w:r>
    </w:p>
  </w:footnote>
  <w:footnote w:id="15">
    <w:p w:rsidR="00DA4DCC" w:rsidRDefault="00DA4DCC" w:rsidP="00AB00DA">
      <w:pPr>
        <w:pStyle w:val="FootnoteText"/>
        <w:spacing w:line="240" w:lineRule="auto"/>
        <w:ind w:left="0" w:firstLine="0"/>
      </w:pPr>
      <w:r>
        <w:rPr>
          <w:rStyle w:val="FootnoteReference"/>
        </w:rPr>
        <w:footnoteRef/>
      </w:r>
      <w:r>
        <w:t xml:space="preserve"> </w:t>
      </w:r>
      <w:proofErr w:type="spellStart"/>
      <w:r>
        <w:t>Krietemeyer</w:t>
      </w:r>
      <w:proofErr w:type="spellEnd"/>
    </w:p>
  </w:footnote>
  <w:footnote w:id="16">
    <w:p w:rsidR="00DA4DCC" w:rsidRDefault="00DA4DCC" w:rsidP="001E31DE">
      <w:pPr>
        <w:pStyle w:val="FootnoteText"/>
        <w:spacing w:line="240" w:lineRule="auto"/>
      </w:pPr>
      <w:r>
        <w:rPr>
          <w:rStyle w:val="FootnoteReference"/>
        </w:rPr>
        <w:footnoteRef/>
      </w:r>
      <w:r>
        <w:t xml:space="preserve"> Lane</w:t>
      </w:r>
    </w:p>
  </w:footnote>
  <w:footnote w:id="17">
    <w:p w:rsidR="00DA4DCC" w:rsidRDefault="00DA4DCC" w:rsidP="001E31DE">
      <w:pPr>
        <w:pStyle w:val="FootnoteText"/>
        <w:spacing w:line="240" w:lineRule="auto"/>
      </w:pPr>
      <w:r>
        <w:rPr>
          <w:rStyle w:val="FootnoteReference"/>
        </w:rPr>
        <w:footnoteRef/>
      </w:r>
      <w:r>
        <w:t xml:space="preserve"> </w:t>
      </w:r>
      <w:proofErr w:type="spellStart"/>
      <w:r>
        <w:t>Katzev</w:t>
      </w:r>
      <w:proofErr w:type="spellEnd"/>
    </w:p>
  </w:footnote>
  <w:footnote w:id="18">
    <w:p w:rsidR="00DA4DCC" w:rsidRDefault="00DA4DCC" w:rsidP="006D5900">
      <w:pPr>
        <w:pStyle w:val="FootnoteText"/>
        <w:spacing w:line="240" w:lineRule="auto"/>
      </w:pPr>
      <w:r>
        <w:rPr>
          <w:rStyle w:val="FootnoteReference"/>
        </w:rPr>
        <w:footnoteRef/>
      </w:r>
      <w:r>
        <w:t xml:space="preserve"> Lane</w:t>
      </w:r>
    </w:p>
  </w:footnote>
  <w:footnote w:id="19">
    <w:p w:rsidR="00DA4DCC" w:rsidRDefault="00DA4DCC" w:rsidP="001E31DE">
      <w:pPr>
        <w:pStyle w:val="FootnoteText"/>
        <w:spacing w:line="240" w:lineRule="auto"/>
      </w:pPr>
      <w:r>
        <w:rPr>
          <w:rStyle w:val="FootnoteReference"/>
        </w:rPr>
        <w:footnoteRef/>
      </w:r>
      <w:r>
        <w:t xml:space="preserve"> </w:t>
      </w:r>
      <w:proofErr w:type="gramStart"/>
      <w:r>
        <w:t>The equivalent of about 2.5 million liters of gas.</w:t>
      </w:r>
      <w:proofErr w:type="gramEnd"/>
      <w:r>
        <w:t xml:space="preserve"> </w:t>
      </w:r>
      <w:proofErr w:type="spellStart"/>
      <w:r>
        <w:t>Haefeli</w:t>
      </w:r>
      <w:proofErr w:type="spellEnd"/>
      <w:r>
        <w:t xml:space="preserve"> and </w:t>
      </w:r>
      <w:proofErr w:type="spellStart"/>
      <w:r>
        <w:t>Matti</w:t>
      </w:r>
      <w:proofErr w:type="spellEnd"/>
    </w:p>
  </w:footnote>
  <w:footnote w:id="20">
    <w:p w:rsidR="00DA4DCC" w:rsidRDefault="00DA4DCC" w:rsidP="001E31DE">
      <w:pPr>
        <w:pStyle w:val="FootnoteText"/>
        <w:spacing w:line="240" w:lineRule="auto"/>
      </w:pPr>
      <w:r>
        <w:rPr>
          <w:rStyle w:val="FootnoteReference"/>
        </w:rPr>
        <w:footnoteRef/>
      </w:r>
      <w:r>
        <w:t xml:space="preserve"> </w:t>
      </w:r>
      <w:proofErr w:type="gramStart"/>
      <w:r>
        <w:t>includes</w:t>
      </w:r>
      <w:proofErr w:type="gramEnd"/>
      <w:r>
        <w:t xml:space="preserve"> all types: private cars, commercial cars, buses, taxis and motorbikes.</w:t>
      </w:r>
    </w:p>
  </w:footnote>
  <w:footnote w:id="21">
    <w:p w:rsidR="00DA4DCC" w:rsidRDefault="00DA4DCC" w:rsidP="001E31DE">
      <w:pPr>
        <w:pStyle w:val="FootnoteText"/>
        <w:spacing w:line="240" w:lineRule="auto"/>
      </w:pPr>
      <w:r>
        <w:rPr>
          <w:rStyle w:val="FootnoteReference"/>
        </w:rPr>
        <w:footnoteRef/>
      </w:r>
      <w:r>
        <w:t xml:space="preserve"> Israel Central Statistics Bureau</w:t>
      </w:r>
    </w:p>
  </w:footnote>
  <w:footnote w:id="22">
    <w:p w:rsidR="00DA4DCC" w:rsidRDefault="00DA4DCC" w:rsidP="00A42A42">
      <w:pPr>
        <w:pStyle w:val="FootnoteText"/>
        <w:spacing w:line="240" w:lineRule="auto"/>
      </w:pPr>
      <w:r>
        <w:rPr>
          <w:rStyle w:val="FootnoteReference"/>
        </w:rPr>
        <w:footnoteRef/>
      </w:r>
      <w:r>
        <w:t xml:space="preserve"> Fletcher</w:t>
      </w:r>
    </w:p>
  </w:footnote>
  <w:footnote w:id="23">
    <w:p w:rsidR="00DA4DCC" w:rsidRDefault="00DA4DCC" w:rsidP="00E979DE">
      <w:pPr>
        <w:pStyle w:val="FootnoteText"/>
      </w:pPr>
      <w:r>
        <w:rPr>
          <w:rStyle w:val="FootnoteReference"/>
        </w:rPr>
        <w:footnoteRef/>
      </w:r>
      <w:r>
        <w:t xml:space="preserve"> For sources, see Appendix 2.</w:t>
      </w:r>
    </w:p>
  </w:footnote>
  <w:footnote w:id="24">
    <w:p w:rsidR="00DA4DCC" w:rsidRPr="006E7C0B" w:rsidRDefault="00DA4DCC" w:rsidP="00E3749A">
      <w:pPr>
        <w:pStyle w:val="FootnoteText"/>
        <w:spacing w:line="240" w:lineRule="auto"/>
      </w:pPr>
      <w:r>
        <w:rPr>
          <w:rStyle w:val="FootnoteReference"/>
        </w:rPr>
        <w:footnoteRef/>
      </w:r>
      <w:r>
        <w:t xml:space="preserve"> The categories of Germany and Switzerland refer to carsharing organizations that offer country-wide services. </w:t>
      </w:r>
      <w:r w:rsidRPr="006E7C0B">
        <w:t xml:space="preserve">Tel Aviv Value and Tel Aviv Value + refer to two different pricing plans </w:t>
      </w:r>
      <w:r>
        <w:t>offered by Car2Go. The reference case refers to the data used in Schuster et al., which refers to prices in Baltimore, US in 2005.</w:t>
      </w:r>
    </w:p>
  </w:footnote>
  <w:footnote w:id="25">
    <w:p w:rsidR="00DA4DCC" w:rsidRDefault="00DA4DCC">
      <w:pPr>
        <w:pStyle w:val="FootnoteText"/>
      </w:pPr>
      <w:r>
        <w:rPr>
          <w:rStyle w:val="FootnoteReference"/>
        </w:rPr>
        <w:footnoteRef/>
      </w:r>
      <w:r>
        <w:t xml:space="preserve"> Schuster et al., Robert and Casella</w:t>
      </w:r>
    </w:p>
  </w:footnote>
  <w:footnote w:id="26">
    <w:p w:rsidR="00DA4DCC" w:rsidRDefault="00DA4DCC" w:rsidP="001E31DE">
      <w:pPr>
        <w:pStyle w:val="FootnoteText"/>
        <w:spacing w:line="240" w:lineRule="auto"/>
      </w:pPr>
      <w:r>
        <w:rPr>
          <w:rStyle w:val="FootnoteReference"/>
        </w:rPr>
        <w:footnoteRef/>
      </w:r>
      <w:r>
        <w:t xml:space="preserve"> </w:t>
      </w:r>
      <w:r w:rsidRPr="00DA471A">
        <w:t>Israel Ministry of Finance</w:t>
      </w:r>
    </w:p>
  </w:footnote>
  <w:footnote w:id="27">
    <w:p w:rsidR="00DA4DCC" w:rsidRPr="008D3379" w:rsidRDefault="00DA4DCC" w:rsidP="00301960">
      <w:pPr>
        <w:pStyle w:val="FootnoteText"/>
        <w:spacing w:line="240" w:lineRule="auto"/>
        <w:jc w:val="left"/>
      </w:pPr>
      <w:r>
        <w:rPr>
          <w:rStyle w:val="FootnoteReference"/>
        </w:rPr>
        <w:footnoteRef/>
      </w:r>
      <w:r>
        <w:t xml:space="preserve"> Israel Central Statistics Bureau, </w:t>
      </w:r>
      <w:hyperlink r:id="rId1" w:history="1">
        <w:r>
          <w:rPr>
            <w:rStyle w:val="Hyperlink"/>
          </w:rPr>
          <w:t>Motor Vehicles Registered in Cities, by Type of Vehicle</w:t>
        </w:r>
      </w:hyperlink>
      <w:r>
        <w:t xml:space="preserve">, The following cities were counted as Greater Tel Aviv Area: </w:t>
      </w:r>
      <w:r w:rsidRPr="008D3379">
        <w:t xml:space="preserve">Or Yehuda, </w:t>
      </w:r>
      <w:proofErr w:type="spellStart"/>
      <w:r w:rsidRPr="008D3379">
        <w:t>Bene</w:t>
      </w:r>
      <w:proofErr w:type="spellEnd"/>
      <w:r w:rsidRPr="008D3379">
        <w:t xml:space="preserve"> </w:t>
      </w:r>
      <w:proofErr w:type="spellStart"/>
      <w:r w:rsidRPr="008D3379">
        <w:t>Beraq</w:t>
      </w:r>
      <w:proofErr w:type="spellEnd"/>
      <w:r w:rsidRPr="008D3379">
        <w:t xml:space="preserve">, Bat Yam, </w:t>
      </w:r>
      <w:proofErr w:type="spellStart"/>
      <w:r w:rsidRPr="008D3379">
        <w:t>Givatayim</w:t>
      </w:r>
      <w:proofErr w:type="spellEnd"/>
      <w:r w:rsidRPr="008D3379">
        <w:t xml:space="preserve">, </w:t>
      </w:r>
      <w:proofErr w:type="spellStart"/>
      <w:r w:rsidRPr="008D3379">
        <w:t>Hod</w:t>
      </w:r>
      <w:proofErr w:type="spellEnd"/>
      <w:r w:rsidRPr="008D3379">
        <w:t xml:space="preserve"> </w:t>
      </w:r>
      <w:proofErr w:type="spellStart"/>
      <w:r w:rsidRPr="008D3379">
        <w:t>Hasharon</w:t>
      </w:r>
      <w:proofErr w:type="spellEnd"/>
      <w:r w:rsidRPr="008D3379">
        <w:t xml:space="preserve">, </w:t>
      </w:r>
      <w:proofErr w:type="spellStart"/>
      <w:r w:rsidRPr="008D3379">
        <w:t>Herzliya</w:t>
      </w:r>
      <w:proofErr w:type="spellEnd"/>
      <w:r w:rsidRPr="008D3379">
        <w:t xml:space="preserve">, Holon, </w:t>
      </w:r>
      <w:proofErr w:type="spellStart"/>
      <w:r>
        <w:t>Yehud</w:t>
      </w:r>
      <w:proofErr w:type="spellEnd"/>
      <w:r>
        <w:t xml:space="preserve">, </w:t>
      </w:r>
      <w:proofErr w:type="spellStart"/>
      <w:r>
        <w:t>Kfa</w:t>
      </w:r>
      <w:proofErr w:type="spellEnd"/>
      <w:r>
        <w:t xml:space="preserve"> Sava, </w:t>
      </w:r>
      <w:proofErr w:type="spellStart"/>
      <w:r>
        <w:t>Lod</w:t>
      </w:r>
      <w:proofErr w:type="spellEnd"/>
      <w:r>
        <w:t xml:space="preserve">, </w:t>
      </w:r>
      <w:proofErr w:type="spellStart"/>
      <w:r>
        <w:t>Nes</w:t>
      </w:r>
      <w:proofErr w:type="spellEnd"/>
      <w:r>
        <w:t xml:space="preserve"> </w:t>
      </w:r>
      <w:proofErr w:type="spellStart"/>
      <w:r>
        <w:t>Tzyiona</w:t>
      </w:r>
      <w:proofErr w:type="spellEnd"/>
      <w:r>
        <w:t xml:space="preserve">, </w:t>
      </w:r>
      <w:proofErr w:type="spellStart"/>
      <w:r>
        <w:t>Rishon</w:t>
      </w:r>
      <w:proofErr w:type="spellEnd"/>
      <w:r>
        <w:t xml:space="preserve"> </w:t>
      </w:r>
      <w:proofErr w:type="spellStart"/>
      <w:r>
        <w:t>Lezion</w:t>
      </w:r>
      <w:proofErr w:type="spellEnd"/>
      <w:r>
        <w:t xml:space="preserve">, </w:t>
      </w:r>
      <w:proofErr w:type="spellStart"/>
      <w:r>
        <w:t>Ramla</w:t>
      </w:r>
      <w:proofErr w:type="spellEnd"/>
      <w:r>
        <w:t xml:space="preserve">, Ramat </w:t>
      </w:r>
      <w:proofErr w:type="spellStart"/>
      <w:r>
        <w:t>Gan</w:t>
      </w:r>
      <w:proofErr w:type="spellEnd"/>
      <w:r>
        <w:t xml:space="preserve">, Ramat </w:t>
      </w:r>
      <w:proofErr w:type="spellStart"/>
      <w:r>
        <w:t>Hasharon</w:t>
      </w:r>
      <w:proofErr w:type="spellEnd"/>
      <w:r>
        <w:t xml:space="preserve">, </w:t>
      </w:r>
      <w:proofErr w:type="spellStart"/>
      <w:r>
        <w:t>Raannana</w:t>
      </w:r>
      <w:proofErr w:type="spellEnd"/>
      <w:r>
        <w:t xml:space="preserve">, Tel Aviv - </w:t>
      </w:r>
      <w:proofErr w:type="spellStart"/>
      <w:r>
        <w:t>Yafo</w:t>
      </w:r>
      <w:proofErr w:type="spellEnd"/>
    </w:p>
  </w:footnote>
  <w:footnote w:id="28">
    <w:p w:rsidR="00DA4DCC" w:rsidRDefault="00DA4DCC" w:rsidP="00301960">
      <w:pPr>
        <w:pStyle w:val="FootnoteText"/>
        <w:spacing w:line="240" w:lineRule="auto"/>
      </w:pPr>
      <w:r>
        <w:rPr>
          <w:rStyle w:val="FootnoteReference"/>
        </w:rPr>
        <w:footnoteRef/>
      </w:r>
      <w:r>
        <w:t xml:space="preserve"> Bank of Israel</w:t>
      </w:r>
    </w:p>
  </w:footnote>
  <w:footnote w:id="29">
    <w:p w:rsidR="00DA4DCC" w:rsidRDefault="00DA4DCC" w:rsidP="00B80A8F">
      <w:pPr>
        <w:pStyle w:val="FootnoteText"/>
        <w:spacing w:line="240" w:lineRule="auto"/>
      </w:pPr>
      <w:r>
        <w:rPr>
          <w:rStyle w:val="FootnoteReference"/>
        </w:rPr>
        <w:footnoteRef/>
      </w:r>
      <w:r>
        <w:t xml:space="preserve"> </w:t>
      </w:r>
      <w:proofErr w:type="spellStart"/>
      <w:r>
        <w:t>Heshev</w:t>
      </w:r>
      <w:proofErr w:type="spellEnd"/>
    </w:p>
  </w:footnote>
  <w:footnote w:id="30">
    <w:p w:rsidR="00DA4DCC" w:rsidRDefault="00DA4DCC">
      <w:pPr>
        <w:pStyle w:val="FootnoteText"/>
      </w:pPr>
      <w:r>
        <w:rPr>
          <w:rStyle w:val="FootnoteReference"/>
        </w:rPr>
        <w:footnoteRef/>
      </w:r>
      <w:r>
        <w:t xml:space="preserve"> </w:t>
      </w:r>
      <w:proofErr w:type="spellStart"/>
      <w:r>
        <w:t>Elgal</w:t>
      </w:r>
      <w:proofErr w:type="spellEnd"/>
      <w:r>
        <w:t xml:space="preserve"> Car</w:t>
      </w:r>
    </w:p>
  </w:footnote>
  <w:footnote w:id="31">
    <w:p w:rsidR="00DA4DCC" w:rsidRDefault="00DA4DCC" w:rsidP="009C4D95">
      <w:pPr>
        <w:pStyle w:val="FootnoteText"/>
        <w:spacing w:line="240" w:lineRule="auto"/>
      </w:pPr>
      <w:r>
        <w:rPr>
          <w:rStyle w:val="FootnoteReference"/>
        </w:rPr>
        <w:footnoteRef/>
      </w:r>
      <w:r>
        <w:t xml:space="preserve"> </w:t>
      </w:r>
      <w:proofErr w:type="spellStart"/>
      <w:r>
        <w:t>Delekzol</w:t>
      </w:r>
      <w:proofErr w:type="spellEnd"/>
    </w:p>
  </w:footnote>
  <w:footnote w:id="32">
    <w:p w:rsidR="00DA4DCC" w:rsidRDefault="00DA4DCC" w:rsidP="009C4D95">
      <w:pPr>
        <w:pStyle w:val="FootnoteText"/>
        <w:spacing w:line="240" w:lineRule="auto"/>
      </w:pPr>
      <w:r>
        <w:rPr>
          <w:rStyle w:val="FootnoteReference"/>
        </w:rPr>
        <w:footnoteRef/>
      </w:r>
      <w:r>
        <w:t xml:space="preserve"> </w:t>
      </w:r>
      <w:proofErr w:type="spellStart"/>
      <w:r>
        <w:t>Yasai</w:t>
      </w:r>
      <w:proofErr w:type="spellEnd"/>
      <w:r>
        <w:t xml:space="preserve"> manual</w:t>
      </w:r>
    </w:p>
  </w:footnote>
  <w:footnote w:id="33">
    <w:p w:rsidR="00DA4DCC" w:rsidRDefault="00DA4DCC" w:rsidP="009C4D95">
      <w:pPr>
        <w:pStyle w:val="FootnoteText"/>
      </w:pPr>
      <w:r>
        <w:rPr>
          <w:rStyle w:val="FootnoteReference"/>
        </w:rPr>
        <w:footnoteRef/>
      </w:r>
      <w:r>
        <w:t xml:space="preserve"> Israel Central Bureau of Statistics, 2008</w:t>
      </w:r>
    </w:p>
  </w:footnote>
  <w:footnote w:id="34">
    <w:p w:rsidR="00DA4DCC" w:rsidRDefault="00DA4DCC" w:rsidP="000D51FF">
      <w:pPr>
        <w:pStyle w:val="FootnoteText"/>
        <w:spacing w:line="240" w:lineRule="auto"/>
      </w:pPr>
      <w:r>
        <w:rPr>
          <w:rStyle w:val="FootnoteReference"/>
        </w:rPr>
        <w:footnoteRef/>
      </w:r>
      <w:r>
        <w:t xml:space="preserve"> </w:t>
      </w:r>
      <w:proofErr w:type="spellStart"/>
      <w:r>
        <w:t>Litman</w:t>
      </w:r>
      <w:proofErr w:type="spellEnd"/>
    </w:p>
  </w:footnote>
  <w:footnote w:id="35">
    <w:p w:rsidR="00DA4DCC" w:rsidRDefault="00DA4DCC" w:rsidP="00B80A8F">
      <w:pPr>
        <w:pStyle w:val="FootnoteText"/>
        <w:spacing w:line="240" w:lineRule="auto"/>
      </w:pPr>
      <w:r>
        <w:rPr>
          <w:rStyle w:val="FootnoteReference"/>
        </w:rPr>
        <w:footnoteRef/>
      </w:r>
      <w:r>
        <w:t xml:space="preserve"> Auto Car Magazine</w:t>
      </w:r>
    </w:p>
  </w:footnote>
  <w:footnote w:id="36">
    <w:p w:rsidR="00DA4DCC" w:rsidRDefault="00DA4DCC" w:rsidP="000D51FF">
      <w:pPr>
        <w:pStyle w:val="FootnoteText"/>
        <w:spacing w:line="240" w:lineRule="auto"/>
      </w:pPr>
      <w:r>
        <w:rPr>
          <w:rStyle w:val="FootnoteReference"/>
        </w:rPr>
        <w:footnoteRef/>
      </w:r>
      <w:r>
        <w:t xml:space="preserve"> </w:t>
      </w:r>
      <w:proofErr w:type="gramStart"/>
      <w:r>
        <w:t>Millard-Ball et al.</w:t>
      </w:r>
      <w:proofErr w:type="gramEnd"/>
    </w:p>
  </w:footnote>
  <w:footnote w:id="37">
    <w:p w:rsidR="00DA4DCC" w:rsidRDefault="00DA4DCC" w:rsidP="000D51FF">
      <w:pPr>
        <w:pStyle w:val="FootnoteText"/>
        <w:spacing w:line="240" w:lineRule="auto"/>
      </w:pPr>
      <w:r>
        <w:rPr>
          <w:rStyle w:val="FootnoteReference"/>
        </w:rPr>
        <w:footnoteRef/>
      </w:r>
      <w:r>
        <w:t xml:space="preserve"> Adjusted mileage was used for Scenario 7b.</w:t>
      </w:r>
    </w:p>
  </w:footnote>
  <w:footnote w:id="38">
    <w:p w:rsidR="00DA4DCC" w:rsidRDefault="00DA4DCC" w:rsidP="00301960">
      <w:pPr>
        <w:pStyle w:val="FootnoteText"/>
        <w:spacing w:line="240" w:lineRule="auto"/>
      </w:pPr>
      <w:r>
        <w:rPr>
          <w:rStyle w:val="FootnoteReference"/>
        </w:rPr>
        <w:footnoteRef/>
      </w:r>
      <w:r>
        <w:t xml:space="preserve"> For both scenarios, a mileage conversion rate of 1.35 km per mile was used in order to achieve the average Israel mileage.</w:t>
      </w:r>
    </w:p>
  </w:footnote>
  <w:footnote w:id="39">
    <w:p w:rsidR="00DA4DCC" w:rsidRDefault="00DA4DCC" w:rsidP="00301960">
      <w:pPr>
        <w:pStyle w:val="FootnoteText"/>
        <w:spacing w:line="240" w:lineRule="auto"/>
      </w:pPr>
      <w:r w:rsidRPr="006232D6">
        <w:footnoteRef/>
      </w:r>
      <w:r>
        <w:t xml:space="preserve"> Note that </w:t>
      </w:r>
      <w:proofErr w:type="spellStart"/>
      <w:r>
        <w:t>Heshev</w:t>
      </w:r>
      <w:proofErr w:type="spellEnd"/>
      <w:r>
        <w:t xml:space="preserve"> calculated with </w:t>
      </w:r>
      <w:r w:rsidRPr="006232D6">
        <w:t xml:space="preserve">15000 </w:t>
      </w:r>
      <w:r>
        <w:t xml:space="preserve">yearly </w:t>
      </w:r>
      <w:r w:rsidRPr="006232D6">
        <w:t>km only rather than 16522 km as in the scenario and 16700 as was the average mileage for private Israeli vehicles in 2008</w:t>
      </w:r>
      <w:r>
        <w:t xml:space="preserve"> (Central Bureau of Statistics, </w:t>
      </w:r>
      <w:proofErr w:type="spellStart"/>
      <w:r>
        <w:t>Statistilite</w:t>
      </w:r>
      <w:proofErr w:type="spellEnd"/>
      <w:r>
        <w:t xml:space="preserve"> 81)</w:t>
      </w:r>
      <w:r w:rsidRPr="006232D6">
        <w:t>.</w:t>
      </w:r>
    </w:p>
  </w:footnote>
  <w:footnote w:id="40">
    <w:p w:rsidR="00DA4DCC" w:rsidRDefault="00DA4DCC" w:rsidP="000B2A73">
      <w:pPr>
        <w:pStyle w:val="FootnoteText"/>
        <w:spacing w:line="240" w:lineRule="auto"/>
      </w:pPr>
      <w:r>
        <w:rPr>
          <w:rStyle w:val="FootnoteReference"/>
        </w:rPr>
        <w:footnoteRef/>
      </w:r>
      <w:r>
        <w:t xml:space="preserve"> The free YASAI Excel add-on does not provide an option to calculate the variance. </w:t>
      </w:r>
    </w:p>
  </w:footnote>
  <w:footnote w:id="41">
    <w:p w:rsidR="00DA4DCC" w:rsidRDefault="00DA4DCC" w:rsidP="000B2A73">
      <w:pPr>
        <w:pStyle w:val="FootnoteText"/>
        <w:spacing w:line="240" w:lineRule="auto"/>
      </w:pPr>
      <w:r>
        <w:rPr>
          <w:rStyle w:val="FootnoteReference"/>
        </w:rPr>
        <w:footnoteRef/>
      </w:r>
      <w:r>
        <w:t xml:space="preserve"> Private conversation with Jonathan </w:t>
      </w:r>
      <w:proofErr w:type="spellStart"/>
      <w:r>
        <w:t>Gadish</w:t>
      </w:r>
      <w:proofErr w:type="spellEnd"/>
      <w:r>
        <w:t>, CEO of Car2Go</w:t>
      </w:r>
    </w:p>
  </w:footnote>
  <w:footnote w:id="42">
    <w:p w:rsidR="00DA4DCC" w:rsidRDefault="00DA4DCC" w:rsidP="000B2A73">
      <w:pPr>
        <w:pStyle w:val="FootnoteText"/>
        <w:spacing w:line="240" w:lineRule="auto"/>
      </w:pPr>
      <w:r>
        <w:rPr>
          <w:rStyle w:val="FootnoteReference"/>
        </w:rPr>
        <w:footnoteRef/>
      </w:r>
      <w:r>
        <w:t xml:space="preserve"> See Appendix 1. </w:t>
      </w:r>
    </w:p>
  </w:footnote>
  <w:footnote w:id="43">
    <w:p w:rsidR="00DA4DCC" w:rsidRDefault="00DA4DCC">
      <w:pPr>
        <w:pStyle w:val="FootnoteText"/>
      </w:pPr>
      <w:r>
        <w:rPr>
          <w:rStyle w:val="FootnoteReference"/>
        </w:rPr>
        <w:footnoteRef/>
      </w:r>
      <w:r>
        <w:t xml:space="preserve"> </w:t>
      </w:r>
      <w:proofErr w:type="spellStart"/>
      <w:r>
        <w:t>Bonsall</w:t>
      </w:r>
      <w:proofErr w:type="spellEnd"/>
      <w:r>
        <w:t xml:space="preserve">, </w:t>
      </w:r>
      <w:proofErr w:type="spellStart"/>
      <w:r>
        <w:t>Ryden</w:t>
      </w:r>
      <w:proofErr w:type="spellEnd"/>
      <w:r>
        <w:t xml:space="preserve"> and Morin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nsid w:val="2ADD210F"/>
    <w:multiLevelType w:val="hybridMultilevel"/>
    <w:tmpl w:val="03D2F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8D1511"/>
    <w:multiLevelType w:val="multilevel"/>
    <w:tmpl w:val="A1D60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D5E"/>
    <w:rsid w:val="00011173"/>
    <w:rsid w:val="00036F64"/>
    <w:rsid w:val="00042167"/>
    <w:rsid w:val="00045553"/>
    <w:rsid w:val="0004617C"/>
    <w:rsid w:val="00050626"/>
    <w:rsid w:val="00065CF1"/>
    <w:rsid w:val="00070B0F"/>
    <w:rsid w:val="000723B8"/>
    <w:rsid w:val="000735AD"/>
    <w:rsid w:val="00092069"/>
    <w:rsid w:val="00095F5A"/>
    <w:rsid w:val="000A11C4"/>
    <w:rsid w:val="000A411F"/>
    <w:rsid w:val="000B090F"/>
    <w:rsid w:val="000B2A73"/>
    <w:rsid w:val="000C63AC"/>
    <w:rsid w:val="000D51FF"/>
    <w:rsid w:val="000D542D"/>
    <w:rsid w:val="000E04B8"/>
    <w:rsid w:val="000F3F97"/>
    <w:rsid w:val="000F5F4B"/>
    <w:rsid w:val="000F7B19"/>
    <w:rsid w:val="00121874"/>
    <w:rsid w:val="001349C5"/>
    <w:rsid w:val="001454C7"/>
    <w:rsid w:val="00152342"/>
    <w:rsid w:val="00167384"/>
    <w:rsid w:val="00174330"/>
    <w:rsid w:val="0018077C"/>
    <w:rsid w:val="00180EC0"/>
    <w:rsid w:val="00185B9F"/>
    <w:rsid w:val="00196D0A"/>
    <w:rsid w:val="001A63B7"/>
    <w:rsid w:val="001E31DE"/>
    <w:rsid w:val="001E499B"/>
    <w:rsid w:val="001E49CB"/>
    <w:rsid w:val="001F268B"/>
    <w:rsid w:val="00200263"/>
    <w:rsid w:val="00202515"/>
    <w:rsid w:val="00203AF7"/>
    <w:rsid w:val="00222036"/>
    <w:rsid w:val="0022334E"/>
    <w:rsid w:val="002353BA"/>
    <w:rsid w:val="002470B8"/>
    <w:rsid w:val="00253C54"/>
    <w:rsid w:val="00254820"/>
    <w:rsid w:val="00262743"/>
    <w:rsid w:val="00266340"/>
    <w:rsid w:val="00276C2F"/>
    <w:rsid w:val="00282A66"/>
    <w:rsid w:val="00286701"/>
    <w:rsid w:val="00291A6B"/>
    <w:rsid w:val="00296E73"/>
    <w:rsid w:val="002A24A0"/>
    <w:rsid w:val="002B377C"/>
    <w:rsid w:val="002B4229"/>
    <w:rsid w:val="002C1A24"/>
    <w:rsid w:val="002E47F8"/>
    <w:rsid w:val="002E5C74"/>
    <w:rsid w:val="002F1D58"/>
    <w:rsid w:val="00301960"/>
    <w:rsid w:val="00310085"/>
    <w:rsid w:val="00317922"/>
    <w:rsid w:val="00323309"/>
    <w:rsid w:val="00336A3D"/>
    <w:rsid w:val="00337577"/>
    <w:rsid w:val="00341148"/>
    <w:rsid w:val="00351664"/>
    <w:rsid w:val="003608E7"/>
    <w:rsid w:val="00390461"/>
    <w:rsid w:val="003A3DD6"/>
    <w:rsid w:val="003B190C"/>
    <w:rsid w:val="003B56D7"/>
    <w:rsid w:val="003B639C"/>
    <w:rsid w:val="003D5628"/>
    <w:rsid w:val="003D6255"/>
    <w:rsid w:val="003F44F1"/>
    <w:rsid w:val="004141A7"/>
    <w:rsid w:val="004203C1"/>
    <w:rsid w:val="004325A7"/>
    <w:rsid w:val="00436961"/>
    <w:rsid w:val="00441C60"/>
    <w:rsid w:val="00443BD2"/>
    <w:rsid w:val="00461528"/>
    <w:rsid w:val="004645D0"/>
    <w:rsid w:val="0047097B"/>
    <w:rsid w:val="00474BD9"/>
    <w:rsid w:val="00475A22"/>
    <w:rsid w:val="00475CBD"/>
    <w:rsid w:val="00475FB9"/>
    <w:rsid w:val="00483EA1"/>
    <w:rsid w:val="00493A00"/>
    <w:rsid w:val="004A347F"/>
    <w:rsid w:val="004A3EBA"/>
    <w:rsid w:val="004A60F7"/>
    <w:rsid w:val="004B1E6F"/>
    <w:rsid w:val="004B5239"/>
    <w:rsid w:val="004C4910"/>
    <w:rsid w:val="004C747F"/>
    <w:rsid w:val="004D3395"/>
    <w:rsid w:val="004D6043"/>
    <w:rsid w:val="004D6DFC"/>
    <w:rsid w:val="004F2FBC"/>
    <w:rsid w:val="005058B6"/>
    <w:rsid w:val="00553860"/>
    <w:rsid w:val="00566624"/>
    <w:rsid w:val="0057428A"/>
    <w:rsid w:val="00584C4B"/>
    <w:rsid w:val="005B066E"/>
    <w:rsid w:val="005B3067"/>
    <w:rsid w:val="005B5157"/>
    <w:rsid w:val="005C1C99"/>
    <w:rsid w:val="005C30BE"/>
    <w:rsid w:val="005C6943"/>
    <w:rsid w:val="005D07A4"/>
    <w:rsid w:val="0061136A"/>
    <w:rsid w:val="00616AE8"/>
    <w:rsid w:val="00623066"/>
    <w:rsid w:val="006232D6"/>
    <w:rsid w:val="006560F8"/>
    <w:rsid w:val="00665813"/>
    <w:rsid w:val="00672C0C"/>
    <w:rsid w:val="0067440F"/>
    <w:rsid w:val="00682D5E"/>
    <w:rsid w:val="0069062A"/>
    <w:rsid w:val="00690735"/>
    <w:rsid w:val="00693A1A"/>
    <w:rsid w:val="006A0052"/>
    <w:rsid w:val="006A5C23"/>
    <w:rsid w:val="006A6D18"/>
    <w:rsid w:val="006B09E2"/>
    <w:rsid w:val="006B4B15"/>
    <w:rsid w:val="006C142E"/>
    <w:rsid w:val="006D5900"/>
    <w:rsid w:val="006E7C0B"/>
    <w:rsid w:val="00704E79"/>
    <w:rsid w:val="00717ABF"/>
    <w:rsid w:val="00725180"/>
    <w:rsid w:val="00735FDC"/>
    <w:rsid w:val="0074099D"/>
    <w:rsid w:val="00765C17"/>
    <w:rsid w:val="007710CF"/>
    <w:rsid w:val="00792546"/>
    <w:rsid w:val="00792596"/>
    <w:rsid w:val="0079441E"/>
    <w:rsid w:val="00794712"/>
    <w:rsid w:val="007968C4"/>
    <w:rsid w:val="007A06C0"/>
    <w:rsid w:val="007B1541"/>
    <w:rsid w:val="007B2486"/>
    <w:rsid w:val="007B35CC"/>
    <w:rsid w:val="007C43B4"/>
    <w:rsid w:val="007D3619"/>
    <w:rsid w:val="007E18F5"/>
    <w:rsid w:val="007F1138"/>
    <w:rsid w:val="007F3D60"/>
    <w:rsid w:val="00806C8E"/>
    <w:rsid w:val="0080720A"/>
    <w:rsid w:val="00811A42"/>
    <w:rsid w:val="00811AA3"/>
    <w:rsid w:val="00843D6E"/>
    <w:rsid w:val="00874E8E"/>
    <w:rsid w:val="0087547C"/>
    <w:rsid w:val="008B2986"/>
    <w:rsid w:val="008B514D"/>
    <w:rsid w:val="008B735B"/>
    <w:rsid w:val="008C0FF8"/>
    <w:rsid w:val="008D0E69"/>
    <w:rsid w:val="008D3379"/>
    <w:rsid w:val="008F3601"/>
    <w:rsid w:val="008F49A1"/>
    <w:rsid w:val="00911D9E"/>
    <w:rsid w:val="00912579"/>
    <w:rsid w:val="009416A2"/>
    <w:rsid w:val="009420A7"/>
    <w:rsid w:val="00953EA5"/>
    <w:rsid w:val="00960321"/>
    <w:rsid w:val="00965D46"/>
    <w:rsid w:val="00992B9C"/>
    <w:rsid w:val="00996936"/>
    <w:rsid w:val="009A3792"/>
    <w:rsid w:val="009A3913"/>
    <w:rsid w:val="009B6500"/>
    <w:rsid w:val="009B764D"/>
    <w:rsid w:val="009C0316"/>
    <w:rsid w:val="009C4D95"/>
    <w:rsid w:val="009D4023"/>
    <w:rsid w:val="009E236A"/>
    <w:rsid w:val="00A0299C"/>
    <w:rsid w:val="00A053F9"/>
    <w:rsid w:val="00A200FB"/>
    <w:rsid w:val="00A312A3"/>
    <w:rsid w:val="00A3490C"/>
    <w:rsid w:val="00A42A42"/>
    <w:rsid w:val="00A564F8"/>
    <w:rsid w:val="00A5724D"/>
    <w:rsid w:val="00A62888"/>
    <w:rsid w:val="00A66A3E"/>
    <w:rsid w:val="00A720F4"/>
    <w:rsid w:val="00A77898"/>
    <w:rsid w:val="00A85D7E"/>
    <w:rsid w:val="00A97CDE"/>
    <w:rsid w:val="00AA4DDD"/>
    <w:rsid w:val="00AA4F47"/>
    <w:rsid w:val="00AB00DA"/>
    <w:rsid w:val="00AB3318"/>
    <w:rsid w:val="00AC0A53"/>
    <w:rsid w:val="00AC1810"/>
    <w:rsid w:val="00AC534F"/>
    <w:rsid w:val="00AD35D7"/>
    <w:rsid w:val="00AF3280"/>
    <w:rsid w:val="00AF724A"/>
    <w:rsid w:val="00B51200"/>
    <w:rsid w:val="00B61F84"/>
    <w:rsid w:val="00B80A8F"/>
    <w:rsid w:val="00BA1C75"/>
    <w:rsid w:val="00BA507B"/>
    <w:rsid w:val="00BB3A56"/>
    <w:rsid w:val="00BB3CA7"/>
    <w:rsid w:val="00BB5AB7"/>
    <w:rsid w:val="00BB7A7F"/>
    <w:rsid w:val="00BC04EB"/>
    <w:rsid w:val="00BC0784"/>
    <w:rsid w:val="00BC14F7"/>
    <w:rsid w:val="00BC38B6"/>
    <w:rsid w:val="00BD7073"/>
    <w:rsid w:val="00BD73B3"/>
    <w:rsid w:val="00BE0316"/>
    <w:rsid w:val="00BE1A37"/>
    <w:rsid w:val="00BE2C53"/>
    <w:rsid w:val="00BE6F7D"/>
    <w:rsid w:val="00BF3C38"/>
    <w:rsid w:val="00BF47CB"/>
    <w:rsid w:val="00C313EE"/>
    <w:rsid w:val="00C32ABC"/>
    <w:rsid w:val="00C440E3"/>
    <w:rsid w:val="00C505BC"/>
    <w:rsid w:val="00C53EDC"/>
    <w:rsid w:val="00C559E8"/>
    <w:rsid w:val="00C55E77"/>
    <w:rsid w:val="00C64E65"/>
    <w:rsid w:val="00C811A6"/>
    <w:rsid w:val="00C9589E"/>
    <w:rsid w:val="00CA4E3C"/>
    <w:rsid w:val="00CC42EC"/>
    <w:rsid w:val="00CC475F"/>
    <w:rsid w:val="00CD7DD0"/>
    <w:rsid w:val="00CF27D9"/>
    <w:rsid w:val="00CF4D85"/>
    <w:rsid w:val="00CF5E2F"/>
    <w:rsid w:val="00CF652E"/>
    <w:rsid w:val="00D00140"/>
    <w:rsid w:val="00D04049"/>
    <w:rsid w:val="00D10655"/>
    <w:rsid w:val="00D40A65"/>
    <w:rsid w:val="00D41F68"/>
    <w:rsid w:val="00D44DE0"/>
    <w:rsid w:val="00D44FBA"/>
    <w:rsid w:val="00D54585"/>
    <w:rsid w:val="00D57AC7"/>
    <w:rsid w:val="00D626F5"/>
    <w:rsid w:val="00D67681"/>
    <w:rsid w:val="00D829ED"/>
    <w:rsid w:val="00DA471A"/>
    <w:rsid w:val="00DA4DCC"/>
    <w:rsid w:val="00DB516C"/>
    <w:rsid w:val="00DB6865"/>
    <w:rsid w:val="00DC686C"/>
    <w:rsid w:val="00DE1054"/>
    <w:rsid w:val="00DF1AE7"/>
    <w:rsid w:val="00DF239F"/>
    <w:rsid w:val="00E026AC"/>
    <w:rsid w:val="00E1654D"/>
    <w:rsid w:val="00E35FA5"/>
    <w:rsid w:val="00E3749A"/>
    <w:rsid w:val="00E50CEE"/>
    <w:rsid w:val="00E51FE1"/>
    <w:rsid w:val="00E54791"/>
    <w:rsid w:val="00E67DB8"/>
    <w:rsid w:val="00E77A1D"/>
    <w:rsid w:val="00E80333"/>
    <w:rsid w:val="00E83EFF"/>
    <w:rsid w:val="00E84624"/>
    <w:rsid w:val="00E938A8"/>
    <w:rsid w:val="00E979DE"/>
    <w:rsid w:val="00EA5031"/>
    <w:rsid w:val="00EA7BAB"/>
    <w:rsid w:val="00EB190F"/>
    <w:rsid w:val="00EB2E4F"/>
    <w:rsid w:val="00EC3FE4"/>
    <w:rsid w:val="00EC59D8"/>
    <w:rsid w:val="00ED44F1"/>
    <w:rsid w:val="00ED6440"/>
    <w:rsid w:val="00EE1E0B"/>
    <w:rsid w:val="00F02CFF"/>
    <w:rsid w:val="00F042D2"/>
    <w:rsid w:val="00F17289"/>
    <w:rsid w:val="00F24B22"/>
    <w:rsid w:val="00F51717"/>
    <w:rsid w:val="00F6330B"/>
    <w:rsid w:val="00F67DA8"/>
    <w:rsid w:val="00F7050E"/>
    <w:rsid w:val="00F82F2D"/>
    <w:rsid w:val="00F94386"/>
    <w:rsid w:val="00F944B9"/>
    <w:rsid w:val="00FA0AB0"/>
    <w:rsid w:val="00FA0B5A"/>
    <w:rsid w:val="00FA0D77"/>
    <w:rsid w:val="00FA40CD"/>
    <w:rsid w:val="00FA57E5"/>
    <w:rsid w:val="00FF14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DB8"/>
    <w:pPr>
      <w:widowControl w:val="0"/>
      <w:suppressAutoHyphens/>
      <w:spacing w:line="480" w:lineRule="auto"/>
      <w:jc w:val="both"/>
    </w:pPr>
    <w:rPr>
      <w:rFonts w:eastAsia="DejaVu Sans" w:cstheme="minorBidi"/>
      <w:kern w:val="1"/>
      <w:sz w:val="24"/>
      <w:szCs w:val="24"/>
      <w:lang w:eastAsia="he-IL"/>
    </w:rPr>
  </w:style>
  <w:style w:type="paragraph" w:styleId="Heading1">
    <w:name w:val="heading 1"/>
    <w:basedOn w:val="Normal"/>
    <w:next w:val="Normal"/>
    <w:link w:val="Heading1Char"/>
    <w:uiPriority w:val="9"/>
    <w:qFormat/>
    <w:rsid w:val="00E67D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sid w:val="000F7B19"/>
    <w:rPr>
      <w:rFonts w:ascii="OpenSymbol" w:eastAsia="OpenSymbol" w:hAnsi="OpenSymbol" w:cs="OpenSymbol"/>
    </w:rPr>
  </w:style>
  <w:style w:type="character" w:customStyle="1" w:styleId="FootnoteCharacters">
    <w:name w:val="Footnote Characters"/>
    <w:rsid w:val="000F7B19"/>
  </w:style>
  <w:style w:type="character" w:styleId="FootnoteReference">
    <w:name w:val="footnote reference"/>
    <w:rsid w:val="000F7B19"/>
    <w:rPr>
      <w:vertAlign w:val="superscript"/>
    </w:rPr>
  </w:style>
  <w:style w:type="character" w:styleId="EndnoteReference">
    <w:name w:val="endnote reference"/>
    <w:rsid w:val="000F7B19"/>
    <w:rPr>
      <w:vertAlign w:val="superscript"/>
    </w:rPr>
  </w:style>
  <w:style w:type="character" w:customStyle="1" w:styleId="EndnoteCharacters">
    <w:name w:val="Endnote Characters"/>
    <w:rsid w:val="000F7B19"/>
  </w:style>
  <w:style w:type="paragraph" w:customStyle="1" w:styleId="Heading">
    <w:name w:val="Heading"/>
    <w:basedOn w:val="Normal"/>
    <w:next w:val="BodyText"/>
    <w:rsid w:val="000F7B19"/>
    <w:pPr>
      <w:keepNext/>
      <w:spacing w:before="240" w:after="120"/>
    </w:pPr>
    <w:rPr>
      <w:rFonts w:ascii="Arial" w:hAnsi="Arial"/>
      <w:sz w:val="28"/>
      <w:szCs w:val="28"/>
    </w:rPr>
  </w:style>
  <w:style w:type="paragraph" w:styleId="BodyText">
    <w:name w:val="Body Text"/>
    <w:basedOn w:val="Normal"/>
    <w:rsid w:val="000F7B19"/>
    <w:pPr>
      <w:spacing w:after="120"/>
    </w:pPr>
  </w:style>
  <w:style w:type="paragraph" w:styleId="List">
    <w:name w:val="List"/>
    <w:basedOn w:val="BodyText"/>
    <w:rsid w:val="000F7B19"/>
  </w:style>
  <w:style w:type="paragraph" w:styleId="Caption">
    <w:name w:val="caption"/>
    <w:basedOn w:val="Normal"/>
    <w:qFormat/>
    <w:rsid w:val="000F7B19"/>
    <w:pPr>
      <w:suppressLineNumbers/>
      <w:spacing w:before="120" w:after="120"/>
    </w:pPr>
    <w:rPr>
      <w:i/>
      <w:iCs/>
    </w:rPr>
  </w:style>
  <w:style w:type="paragraph" w:customStyle="1" w:styleId="Index">
    <w:name w:val="Index"/>
    <w:basedOn w:val="Normal"/>
    <w:rsid w:val="000F7B19"/>
    <w:pPr>
      <w:suppressLineNumbers/>
    </w:pPr>
  </w:style>
  <w:style w:type="paragraph" w:styleId="FootnoteText">
    <w:name w:val="footnote text"/>
    <w:basedOn w:val="Normal"/>
    <w:rsid w:val="000F7B19"/>
    <w:pPr>
      <w:suppressLineNumbers/>
      <w:ind w:left="283" w:hanging="283"/>
    </w:pPr>
    <w:rPr>
      <w:sz w:val="20"/>
      <w:szCs w:val="20"/>
    </w:rPr>
  </w:style>
  <w:style w:type="table" w:customStyle="1" w:styleId="LightShading1">
    <w:name w:val="Light Shading1"/>
    <w:basedOn w:val="TableNormal"/>
    <w:uiPriority w:val="60"/>
    <w:rsid w:val="007968C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basedOn w:val="DefaultParagraphFont"/>
    <w:uiPriority w:val="99"/>
    <w:unhideWhenUsed/>
    <w:rsid w:val="00ED44F1"/>
    <w:rPr>
      <w:color w:val="0000FF"/>
      <w:u w:val="single"/>
    </w:rPr>
  </w:style>
  <w:style w:type="paragraph" w:styleId="EndnoteText">
    <w:name w:val="endnote text"/>
    <w:basedOn w:val="Normal"/>
    <w:link w:val="EndnoteTextChar"/>
    <w:uiPriority w:val="99"/>
    <w:semiHidden/>
    <w:unhideWhenUsed/>
    <w:rsid w:val="004A3EBA"/>
    <w:rPr>
      <w:sz w:val="20"/>
      <w:szCs w:val="20"/>
    </w:rPr>
  </w:style>
  <w:style w:type="character" w:customStyle="1" w:styleId="EndnoteTextChar">
    <w:name w:val="Endnote Text Char"/>
    <w:basedOn w:val="DefaultParagraphFont"/>
    <w:link w:val="EndnoteText"/>
    <w:uiPriority w:val="99"/>
    <w:semiHidden/>
    <w:rsid w:val="004A3EBA"/>
    <w:rPr>
      <w:rFonts w:eastAsia="DejaVu Sans" w:cs="Nachlieli CLM"/>
      <w:kern w:val="1"/>
      <w:lang w:eastAsia="he-IL"/>
    </w:rPr>
  </w:style>
  <w:style w:type="paragraph" w:styleId="ListParagraph">
    <w:name w:val="List Paragraph"/>
    <w:basedOn w:val="Normal"/>
    <w:uiPriority w:val="34"/>
    <w:qFormat/>
    <w:rsid w:val="00665813"/>
    <w:pPr>
      <w:ind w:left="720"/>
      <w:contextualSpacing/>
    </w:pPr>
  </w:style>
  <w:style w:type="table" w:styleId="TableGrid">
    <w:name w:val="Table Grid"/>
    <w:basedOn w:val="TableNormal"/>
    <w:uiPriority w:val="59"/>
    <w:rsid w:val="0066581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7428A"/>
    <w:rPr>
      <w:rFonts w:ascii="Tahoma" w:hAnsi="Tahoma" w:cs="Tahoma"/>
      <w:sz w:val="16"/>
      <w:szCs w:val="16"/>
    </w:rPr>
  </w:style>
  <w:style w:type="character" w:customStyle="1" w:styleId="BalloonTextChar">
    <w:name w:val="Balloon Text Char"/>
    <w:basedOn w:val="DefaultParagraphFont"/>
    <w:link w:val="BalloonText"/>
    <w:uiPriority w:val="99"/>
    <w:semiHidden/>
    <w:rsid w:val="0057428A"/>
    <w:rPr>
      <w:rFonts w:ascii="Tahoma" w:eastAsia="DejaVu Sans" w:hAnsi="Tahoma" w:cs="Tahoma"/>
      <w:kern w:val="1"/>
      <w:sz w:val="16"/>
      <w:szCs w:val="16"/>
      <w:lang w:eastAsia="he-IL"/>
    </w:rPr>
  </w:style>
  <w:style w:type="table" w:customStyle="1" w:styleId="LightList1">
    <w:name w:val="Light List1"/>
    <w:basedOn w:val="TableNormal"/>
    <w:uiPriority w:val="61"/>
    <w:rsid w:val="005058B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2">
    <w:name w:val="Light Shading2"/>
    <w:basedOn w:val="TableNormal"/>
    <w:uiPriority w:val="60"/>
    <w:rsid w:val="005058B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ubtitle">
    <w:name w:val="Subtitle"/>
    <w:basedOn w:val="Normal"/>
    <w:next w:val="Normal"/>
    <w:link w:val="SubtitleChar"/>
    <w:uiPriority w:val="11"/>
    <w:qFormat/>
    <w:rsid w:val="00E67DB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67DB8"/>
    <w:rPr>
      <w:rFonts w:asciiTheme="majorHAnsi" w:eastAsiaTheme="majorEastAsia" w:hAnsiTheme="majorHAnsi" w:cstheme="majorBidi"/>
      <w:i/>
      <w:iCs/>
      <w:color w:val="4F81BD" w:themeColor="accent1"/>
      <w:spacing w:val="15"/>
      <w:kern w:val="1"/>
      <w:sz w:val="24"/>
      <w:szCs w:val="24"/>
      <w:lang w:eastAsia="he-IL"/>
    </w:rPr>
  </w:style>
  <w:style w:type="paragraph" w:styleId="Title">
    <w:name w:val="Title"/>
    <w:basedOn w:val="Normal"/>
    <w:next w:val="Normal"/>
    <w:link w:val="TitleChar"/>
    <w:uiPriority w:val="10"/>
    <w:qFormat/>
    <w:rsid w:val="00E67DB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67DB8"/>
    <w:rPr>
      <w:rFonts w:asciiTheme="majorHAnsi" w:eastAsiaTheme="majorEastAsia" w:hAnsiTheme="majorHAnsi" w:cstheme="majorBidi"/>
      <w:color w:val="17365D" w:themeColor="text2" w:themeShade="BF"/>
      <w:spacing w:val="5"/>
      <w:kern w:val="28"/>
      <w:sz w:val="52"/>
      <w:szCs w:val="52"/>
      <w:lang w:eastAsia="he-IL"/>
    </w:rPr>
  </w:style>
  <w:style w:type="character" w:customStyle="1" w:styleId="Heading1Char">
    <w:name w:val="Heading 1 Char"/>
    <w:basedOn w:val="DefaultParagraphFont"/>
    <w:link w:val="Heading1"/>
    <w:uiPriority w:val="9"/>
    <w:rsid w:val="00E67DB8"/>
    <w:rPr>
      <w:rFonts w:asciiTheme="majorHAnsi" w:eastAsiaTheme="majorEastAsia" w:hAnsiTheme="majorHAnsi" w:cstheme="majorBidi"/>
      <w:b/>
      <w:bCs/>
      <w:color w:val="365F91" w:themeColor="accent1" w:themeShade="BF"/>
      <w:kern w:val="1"/>
      <w:sz w:val="28"/>
      <w:szCs w:val="28"/>
      <w:lang w:eastAsia="he-IL"/>
    </w:rPr>
  </w:style>
  <w:style w:type="paragraph" w:styleId="Header">
    <w:name w:val="header"/>
    <w:basedOn w:val="Normal"/>
    <w:link w:val="HeaderChar"/>
    <w:uiPriority w:val="99"/>
    <w:unhideWhenUsed/>
    <w:rsid w:val="00BF47CB"/>
    <w:pPr>
      <w:tabs>
        <w:tab w:val="center" w:pos="4153"/>
        <w:tab w:val="right" w:pos="8306"/>
      </w:tabs>
      <w:spacing w:line="240" w:lineRule="auto"/>
    </w:pPr>
  </w:style>
  <w:style w:type="character" w:customStyle="1" w:styleId="HeaderChar">
    <w:name w:val="Header Char"/>
    <w:basedOn w:val="DefaultParagraphFont"/>
    <w:link w:val="Header"/>
    <w:uiPriority w:val="99"/>
    <w:rsid w:val="00BF47CB"/>
    <w:rPr>
      <w:rFonts w:eastAsia="DejaVu Sans" w:cstheme="minorBidi"/>
      <w:kern w:val="1"/>
      <w:sz w:val="24"/>
      <w:szCs w:val="24"/>
      <w:lang w:eastAsia="he-IL"/>
    </w:rPr>
  </w:style>
  <w:style w:type="paragraph" w:styleId="Footer">
    <w:name w:val="footer"/>
    <w:basedOn w:val="Normal"/>
    <w:link w:val="FooterChar"/>
    <w:uiPriority w:val="99"/>
    <w:unhideWhenUsed/>
    <w:rsid w:val="00BF47CB"/>
    <w:pPr>
      <w:tabs>
        <w:tab w:val="center" w:pos="4153"/>
        <w:tab w:val="right" w:pos="8306"/>
      </w:tabs>
      <w:spacing w:line="240" w:lineRule="auto"/>
    </w:pPr>
  </w:style>
  <w:style w:type="character" w:customStyle="1" w:styleId="FooterChar">
    <w:name w:val="Footer Char"/>
    <w:basedOn w:val="DefaultParagraphFont"/>
    <w:link w:val="Footer"/>
    <w:uiPriority w:val="99"/>
    <w:rsid w:val="00BF47CB"/>
    <w:rPr>
      <w:rFonts w:eastAsia="DejaVu Sans" w:cstheme="minorBidi"/>
      <w:kern w:val="1"/>
      <w:sz w:val="24"/>
      <w:szCs w:val="24"/>
      <w:lang w:eastAsia="he-IL"/>
    </w:rPr>
  </w:style>
  <w:style w:type="table" w:customStyle="1" w:styleId="LightShading-Accent11">
    <w:name w:val="Light Shading - Accent 11"/>
    <w:basedOn w:val="TableNormal"/>
    <w:uiPriority w:val="60"/>
    <w:rsid w:val="00BF47C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Heading">
    <w:name w:val="TOC Heading"/>
    <w:basedOn w:val="Heading1"/>
    <w:next w:val="Normal"/>
    <w:uiPriority w:val="39"/>
    <w:semiHidden/>
    <w:unhideWhenUsed/>
    <w:qFormat/>
    <w:rsid w:val="00EE1E0B"/>
    <w:pPr>
      <w:widowControl/>
      <w:suppressAutoHyphens w:val="0"/>
      <w:spacing w:line="276" w:lineRule="auto"/>
      <w:jc w:val="left"/>
      <w:outlineLvl w:val="9"/>
    </w:pPr>
    <w:rPr>
      <w:kern w:val="0"/>
      <w:lang w:eastAsia="en-US" w:bidi="ar-SA"/>
    </w:rPr>
  </w:style>
  <w:style w:type="paragraph" w:styleId="TOC1">
    <w:name w:val="toc 1"/>
    <w:basedOn w:val="Normal"/>
    <w:next w:val="Normal"/>
    <w:autoRedefine/>
    <w:uiPriority w:val="39"/>
    <w:unhideWhenUsed/>
    <w:qFormat/>
    <w:rsid w:val="00EE1E0B"/>
    <w:pPr>
      <w:spacing w:after="100"/>
    </w:pPr>
  </w:style>
  <w:style w:type="paragraph" w:styleId="TOC2">
    <w:name w:val="toc 2"/>
    <w:basedOn w:val="Normal"/>
    <w:next w:val="Normal"/>
    <w:autoRedefine/>
    <w:uiPriority w:val="39"/>
    <w:semiHidden/>
    <w:unhideWhenUsed/>
    <w:qFormat/>
    <w:rsid w:val="00EE1E0B"/>
    <w:pPr>
      <w:widowControl/>
      <w:suppressAutoHyphens w:val="0"/>
      <w:spacing w:after="100" w:line="276" w:lineRule="auto"/>
      <w:ind w:left="220"/>
      <w:jc w:val="left"/>
    </w:pPr>
    <w:rPr>
      <w:rFonts w:asciiTheme="minorHAnsi" w:eastAsiaTheme="minorEastAsia" w:hAnsiTheme="minorHAnsi"/>
      <w:kern w:val="0"/>
      <w:sz w:val="22"/>
      <w:szCs w:val="22"/>
      <w:lang w:eastAsia="en-US" w:bidi="ar-SA"/>
    </w:rPr>
  </w:style>
  <w:style w:type="paragraph" w:styleId="TOC3">
    <w:name w:val="toc 3"/>
    <w:basedOn w:val="Normal"/>
    <w:next w:val="Normal"/>
    <w:autoRedefine/>
    <w:uiPriority w:val="39"/>
    <w:semiHidden/>
    <w:unhideWhenUsed/>
    <w:qFormat/>
    <w:rsid w:val="00EE1E0B"/>
    <w:pPr>
      <w:widowControl/>
      <w:suppressAutoHyphens w:val="0"/>
      <w:spacing w:after="100" w:line="276" w:lineRule="auto"/>
      <w:ind w:left="440"/>
      <w:jc w:val="left"/>
    </w:pPr>
    <w:rPr>
      <w:rFonts w:asciiTheme="minorHAnsi" w:eastAsiaTheme="minorEastAsia" w:hAnsiTheme="minorHAnsi"/>
      <w:kern w:val="0"/>
      <w:sz w:val="22"/>
      <w:szCs w:val="22"/>
      <w:lang w:eastAsia="en-US" w:bidi="ar-SA"/>
    </w:rPr>
  </w:style>
  <w:style w:type="paragraph" w:styleId="NoSpacing">
    <w:name w:val="No Spacing"/>
    <w:uiPriority w:val="1"/>
    <w:qFormat/>
    <w:rsid w:val="00174330"/>
    <w:pPr>
      <w:widowControl w:val="0"/>
      <w:suppressAutoHyphens/>
      <w:jc w:val="both"/>
    </w:pPr>
    <w:rPr>
      <w:rFonts w:eastAsia="DejaVu Sans" w:cstheme="minorBidi"/>
      <w:kern w:val="1"/>
      <w:sz w:val="24"/>
      <w:szCs w:val="24"/>
      <w:lang w:eastAsia="he-IL"/>
    </w:rPr>
  </w:style>
  <w:style w:type="character" w:styleId="PlaceholderText">
    <w:name w:val="Placeholder Text"/>
    <w:basedOn w:val="DefaultParagraphFont"/>
    <w:uiPriority w:val="99"/>
    <w:semiHidden/>
    <w:rsid w:val="002E47F8"/>
    <w:rPr>
      <w:color w:val="808080"/>
    </w:rPr>
  </w:style>
  <w:style w:type="table" w:customStyle="1" w:styleId="LightShading3">
    <w:name w:val="Light Shading3"/>
    <w:basedOn w:val="TableNormal"/>
    <w:uiPriority w:val="60"/>
    <w:rsid w:val="002E47F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z3988">
    <w:name w:val="z3988"/>
    <w:basedOn w:val="DefaultParagraphFont"/>
    <w:rsid w:val="007D3619"/>
  </w:style>
  <w:style w:type="paragraph" w:styleId="NormalWeb">
    <w:name w:val="Normal (Web)"/>
    <w:basedOn w:val="Normal"/>
    <w:uiPriority w:val="99"/>
    <w:unhideWhenUsed/>
    <w:rsid w:val="00A0299C"/>
    <w:pPr>
      <w:widowControl/>
      <w:suppressAutoHyphens w:val="0"/>
      <w:spacing w:before="100" w:beforeAutospacing="1" w:after="100" w:afterAutospacing="1" w:line="240" w:lineRule="auto"/>
      <w:jc w:val="left"/>
    </w:pPr>
    <w:rPr>
      <w:rFonts w:eastAsia="Times New Roman" w:cs="Times New Roman"/>
      <w:kern w:val="0"/>
      <w:lang w:eastAsia="en-US"/>
    </w:rPr>
  </w:style>
  <w:style w:type="paragraph" w:customStyle="1" w:styleId="Default">
    <w:name w:val="Default"/>
    <w:rsid w:val="007F3D60"/>
    <w:pPr>
      <w:autoSpaceDE w:val="0"/>
      <w:autoSpaceDN w:val="0"/>
      <w:adjustRightInd w:val="0"/>
    </w:pPr>
    <w:rPr>
      <w:color w:val="000000"/>
      <w:sz w:val="24"/>
      <w:szCs w:val="24"/>
    </w:rPr>
  </w:style>
  <w:style w:type="character" w:customStyle="1" w:styleId="apple-style-span">
    <w:name w:val="apple-style-span"/>
    <w:basedOn w:val="DefaultParagraphFont"/>
    <w:rsid w:val="004C74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DB8"/>
    <w:pPr>
      <w:widowControl w:val="0"/>
      <w:suppressAutoHyphens/>
      <w:spacing w:line="480" w:lineRule="auto"/>
      <w:jc w:val="both"/>
    </w:pPr>
    <w:rPr>
      <w:rFonts w:eastAsia="DejaVu Sans" w:cstheme="minorBidi"/>
      <w:kern w:val="1"/>
      <w:sz w:val="24"/>
      <w:szCs w:val="24"/>
      <w:lang w:eastAsia="he-IL"/>
    </w:rPr>
  </w:style>
  <w:style w:type="paragraph" w:styleId="Heading1">
    <w:name w:val="heading 1"/>
    <w:basedOn w:val="Normal"/>
    <w:next w:val="Normal"/>
    <w:link w:val="Heading1Char"/>
    <w:uiPriority w:val="9"/>
    <w:qFormat/>
    <w:rsid w:val="00E67D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sid w:val="000F7B19"/>
    <w:rPr>
      <w:rFonts w:ascii="OpenSymbol" w:eastAsia="OpenSymbol" w:hAnsi="OpenSymbol" w:cs="OpenSymbol"/>
    </w:rPr>
  </w:style>
  <w:style w:type="character" w:customStyle="1" w:styleId="FootnoteCharacters">
    <w:name w:val="Footnote Characters"/>
    <w:rsid w:val="000F7B19"/>
  </w:style>
  <w:style w:type="character" w:styleId="FootnoteReference">
    <w:name w:val="footnote reference"/>
    <w:rsid w:val="000F7B19"/>
    <w:rPr>
      <w:vertAlign w:val="superscript"/>
    </w:rPr>
  </w:style>
  <w:style w:type="character" w:styleId="EndnoteReference">
    <w:name w:val="endnote reference"/>
    <w:rsid w:val="000F7B19"/>
    <w:rPr>
      <w:vertAlign w:val="superscript"/>
    </w:rPr>
  </w:style>
  <w:style w:type="character" w:customStyle="1" w:styleId="EndnoteCharacters">
    <w:name w:val="Endnote Characters"/>
    <w:rsid w:val="000F7B19"/>
  </w:style>
  <w:style w:type="paragraph" w:customStyle="1" w:styleId="Heading">
    <w:name w:val="Heading"/>
    <w:basedOn w:val="Normal"/>
    <w:next w:val="BodyText"/>
    <w:rsid w:val="000F7B19"/>
    <w:pPr>
      <w:keepNext/>
      <w:spacing w:before="240" w:after="120"/>
    </w:pPr>
    <w:rPr>
      <w:rFonts w:ascii="Arial" w:hAnsi="Arial"/>
      <w:sz w:val="28"/>
      <w:szCs w:val="28"/>
    </w:rPr>
  </w:style>
  <w:style w:type="paragraph" w:styleId="BodyText">
    <w:name w:val="Body Text"/>
    <w:basedOn w:val="Normal"/>
    <w:rsid w:val="000F7B19"/>
    <w:pPr>
      <w:spacing w:after="120"/>
    </w:pPr>
  </w:style>
  <w:style w:type="paragraph" w:styleId="List">
    <w:name w:val="List"/>
    <w:basedOn w:val="BodyText"/>
    <w:rsid w:val="000F7B19"/>
  </w:style>
  <w:style w:type="paragraph" w:styleId="Caption">
    <w:name w:val="caption"/>
    <w:basedOn w:val="Normal"/>
    <w:qFormat/>
    <w:rsid w:val="000F7B19"/>
    <w:pPr>
      <w:suppressLineNumbers/>
      <w:spacing w:before="120" w:after="120"/>
    </w:pPr>
    <w:rPr>
      <w:i/>
      <w:iCs/>
    </w:rPr>
  </w:style>
  <w:style w:type="paragraph" w:customStyle="1" w:styleId="Index">
    <w:name w:val="Index"/>
    <w:basedOn w:val="Normal"/>
    <w:rsid w:val="000F7B19"/>
    <w:pPr>
      <w:suppressLineNumbers/>
    </w:pPr>
  </w:style>
  <w:style w:type="paragraph" w:styleId="FootnoteText">
    <w:name w:val="footnote text"/>
    <w:basedOn w:val="Normal"/>
    <w:rsid w:val="000F7B19"/>
    <w:pPr>
      <w:suppressLineNumbers/>
      <w:ind w:left="283" w:hanging="283"/>
    </w:pPr>
    <w:rPr>
      <w:sz w:val="20"/>
      <w:szCs w:val="20"/>
    </w:rPr>
  </w:style>
  <w:style w:type="table" w:customStyle="1" w:styleId="LightShading1">
    <w:name w:val="Light Shading1"/>
    <w:basedOn w:val="TableNormal"/>
    <w:uiPriority w:val="60"/>
    <w:rsid w:val="007968C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basedOn w:val="DefaultParagraphFont"/>
    <w:uiPriority w:val="99"/>
    <w:unhideWhenUsed/>
    <w:rsid w:val="00ED44F1"/>
    <w:rPr>
      <w:color w:val="0000FF"/>
      <w:u w:val="single"/>
    </w:rPr>
  </w:style>
  <w:style w:type="paragraph" w:styleId="EndnoteText">
    <w:name w:val="endnote text"/>
    <w:basedOn w:val="Normal"/>
    <w:link w:val="EndnoteTextChar"/>
    <w:uiPriority w:val="99"/>
    <w:semiHidden/>
    <w:unhideWhenUsed/>
    <w:rsid w:val="004A3EBA"/>
    <w:rPr>
      <w:sz w:val="20"/>
      <w:szCs w:val="20"/>
    </w:rPr>
  </w:style>
  <w:style w:type="character" w:customStyle="1" w:styleId="EndnoteTextChar">
    <w:name w:val="Endnote Text Char"/>
    <w:basedOn w:val="DefaultParagraphFont"/>
    <w:link w:val="EndnoteText"/>
    <w:uiPriority w:val="99"/>
    <w:semiHidden/>
    <w:rsid w:val="004A3EBA"/>
    <w:rPr>
      <w:rFonts w:eastAsia="DejaVu Sans" w:cs="Nachlieli CLM"/>
      <w:kern w:val="1"/>
      <w:lang w:eastAsia="he-IL"/>
    </w:rPr>
  </w:style>
  <w:style w:type="paragraph" w:styleId="ListParagraph">
    <w:name w:val="List Paragraph"/>
    <w:basedOn w:val="Normal"/>
    <w:uiPriority w:val="34"/>
    <w:qFormat/>
    <w:rsid w:val="00665813"/>
    <w:pPr>
      <w:ind w:left="720"/>
      <w:contextualSpacing/>
    </w:pPr>
  </w:style>
  <w:style w:type="table" w:styleId="TableGrid">
    <w:name w:val="Table Grid"/>
    <w:basedOn w:val="TableNormal"/>
    <w:uiPriority w:val="59"/>
    <w:rsid w:val="0066581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7428A"/>
    <w:rPr>
      <w:rFonts w:ascii="Tahoma" w:hAnsi="Tahoma" w:cs="Tahoma"/>
      <w:sz w:val="16"/>
      <w:szCs w:val="16"/>
    </w:rPr>
  </w:style>
  <w:style w:type="character" w:customStyle="1" w:styleId="BalloonTextChar">
    <w:name w:val="Balloon Text Char"/>
    <w:basedOn w:val="DefaultParagraphFont"/>
    <w:link w:val="BalloonText"/>
    <w:uiPriority w:val="99"/>
    <w:semiHidden/>
    <w:rsid w:val="0057428A"/>
    <w:rPr>
      <w:rFonts w:ascii="Tahoma" w:eastAsia="DejaVu Sans" w:hAnsi="Tahoma" w:cs="Tahoma"/>
      <w:kern w:val="1"/>
      <w:sz w:val="16"/>
      <w:szCs w:val="16"/>
      <w:lang w:eastAsia="he-IL"/>
    </w:rPr>
  </w:style>
  <w:style w:type="table" w:customStyle="1" w:styleId="LightList1">
    <w:name w:val="Light List1"/>
    <w:basedOn w:val="TableNormal"/>
    <w:uiPriority w:val="61"/>
    <w:rsid w:val="005058B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2">
    <w:name w:val="Light Shading2"/>
    <w:basedOn w:val="TableNormal"/>
    <w:uiPriority w:val="60"/>
    <w:rsid w:val="005058B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ubtitle">
    <w:name w:val="Subtitle"/>
    <w:basedOn w:val="Normal"/>
    <w:next w:val="Normal"/>
    <w:link w:val="SubtitleChar"/>
    <w:uiPriority w:val="11"/>
    <w:qFormat/>
    <w:rsid w:val="00E67DB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67DB8"/>
    <w:rPr>
      <w:rFonts w:asciiTheme="majorHAnsi" w:eastAsiaTheme="majorEastAsia" w:hAnsiTheme="majorHAnsi" w:cstheme="majorBidi"/>
      <w:i/>
      <w:iCs/>
      <w:color w:val="4F81BD" w:themeColor="accent1"/>
      <w:spacing w:val="15"/>
      <w:kern w:val="1"/>
      <w:sz w:val="24"/>
      <w:szCs w:val="24"/>
      <w:lang w:eastAsia="he-IL"/>
    </w:rPr>
  </w:style>
  <w:style w:type="paragraph" w:styleId="Title">
    <w:name w:val="Title"/>
    <w:basedOn w:val="Normal"/>
    <w:next w:val="Normal"/>
    <w:link w:val="TitleChar"/>
    <w:uiPriority w:val="10"/>
    <w:qFormat/>
    <w:rsid w:val="00E67DB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67DB8"/>
    <w:rPr>
      <w:rFonts w:asciiTheme="majorHAnsi" w:eastAsiaTheme="majorEastAsia" w:hAnsiTheme="majorHAnsi" w:cstheme="majorBidi"/>
      <w:color w:val="17365D" w:themeColor="text2" w:themeShade="BF"/>
      <w:spacing w:val="5"/>
      <w:kern w:val="28"/>
      <w:sz w:val="52"/>
      <w:szCs w:val="52"/>
      <w:lang w:eastAsia="he-IL"/>
    </w:rPr>
  </w:style>
  <w:style w:type="character" w:customStyle="1" w:styleId="Heading1Char">
    <w:name w:val="Heading 1 Char"/>
    <w:basedOn w:val="DefaultParagraphFont"/>
    <w:link w:val="Heading1"/>
    <w:uiPriority w:val="9"/>
    <w:rsid w:val="00E67DB8"/>
    <w:rPr>
      <w:rFonts w:asciiTheme="majorHAnsi" w:eastAsiaTheme="majorEastAsia" w:hAnsiTheme="majorHAnsi" w:cstheme="majorBidi"/>
      <w:b/>
      <w:bCs/>
      <w:color w:val="365F91" w:themeColor="accent1" w:themeShade="BF"/>
      <w:kern w:val="1"/>
      <w:sz w:val="28"/>
      <w:szCs w:val="28"/>
      <w:lang w:eastAsia="he-IL"/>
    </w:rPr>
  </w:style>
  <w:style w:type="paragraph" w:styleId="Header">
    <w:name w:val="header"/>
    <w:basedOn w:val="Normal"/>
    <w:link w:val="HeaderChar"/>
    <w:uiPriority w:val="99"/>
    <w:unhideWhenUsed/>
    <w:rsid w:val="00BF47CB"/>
    <w:pPr>
      <w:tabs>
        <w:tab w:val="center" w:pos="4153"/>
        <w:tab w:val="right" w:pos="8306"/>
      </w:tabs>
      <w:spacing w:line="240" w:lineRule="auto"/>
    </w:pPr>
  </w:style>
  <w:style w:type="character" w:customStyle="1" w:styleId="HeaderChar">
    <w:name w:val="Header Char"/>
    <w:basedOn w:val="DefaultParagraphFont"/>
    <w:link w:val="Header"/>
    <w:uiPriority w:val="99"/>
    <w:rsid w:val="00BF47CB"/>
    <w:rPr>
      <w:rFonts w:eastAsia="DejaVu Sans" w:cstheme="minorBidi"/>
      <w:kern w:val="1"/>
      <w:sz w:val="24"/>
      <w:szCs w:val="24"/>
      <w:lang w:eastAsia="he-IL"/>
    </w:rPr>
  </w:style>
  <w:style w:type="paragraph" w:styleId="Footer">
    <w:name w:val="footer"/>
    <w:basedOn w:val="Normal"/>
    <w:link w:val="FooterChar"/>
    <w:uiPriority w:val="99"/>
    <w:unhideWhenUsed/>
    <w:rsid w:val="00BF47CB"/>
    <w:pPr>
      <w:tabs>
        <w:tab w:val="center" w:pos="4153"/>
        <w:tab w:val="right" w:pos="8306"/>
      </w:tabs>
      <w:spacing w:line="240" w:lineRule="auto"/>
    </w:pPr>
  </w:style>
  <w:style w:type="character" w:customStyle="1" w:styleId="FooterChar">
    <w:name w:val="Footer Char"/>
    <w:basedOn w:val="DefaultParagraphFont"/>
    <w:link w:val="Footer"/>
    <w:uiPriority w:val="99"/>
    <w:rsid w:val="00BF47CB"/>
    <w:rPr>
      <w:rFonts w:eastAsia="DejaVu Sans" w:cstheme="minorBidi"/>
      <w:kern w:val="1"/>
      <w:sz w:val="24"/>
      <w:szCs w:val="24"/>
      <w:lang w:eastAsia="he-IL"/>
    </w:rPr>
  </w:style>
  <w:style w:type="table" w:customStyle="1" w:styleId="LightShading-Accent11">
    <w:name w:val="Light Shading - Accent 11"/>
    <w:basedOn w:val="TableNormal"/>
    <w:uiPriority w:val="60"/>
    <w:rsid w:val="00BF47C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Heading">
    <w:name w:val="TOC Heading"/>
    <w:basedOn w:val="Heading1"/>
    <w:next w:val="Normal"/>
    <w:uiPriority w:val="39"/>
    <w:semiHidden/>
    <w:unhideWhenUsed/>
    <w:qFormat/>
    <w:rsid w:val="00EE1E0B"/>
    <w:pPr>
      <w:widowControl/>
      <w:suppressAutoHyphens w:val="0"/>
      <w:spacing w:line="276" w:lineRule="auto"/>
      <w:jc w:val="left"/>
      <w:outlineLvl w:val="9"/>
    </w:pPr>
    <w:rPr>
      <w:kern w:val="0"/>
      <w:lang w:eastAsia="en-US" w:bidi="ar-SA"/>
    </w:rPr>
  </w:style>
  <w:style w:type="paragraph" w:styleId="TOC1">
    <w:name w:val="toc 1"/>
    <w:basedOn w:val="Normal"/>
    <w:next w:val="Normal"/>
    <w:autoRedefine/>
    <w:uiPriority w:val="39"/>
    <w:unhideWhenUsed/>
    <w:qFormat/>
    <w:rsid w:val="00EE1E0B"/>
    <w:pPr>
      <w:spacing w:after="100"/>
    </w:pPr>
  </w:style>
  <w:style w:type="paragraph" w:styleId="TOC2">
    <w:name w:val="toc 2"/>
    <w:basedOn w:val="Normal"/>
    <w:next w:val="Normal"/>
    <w:autoRedefine/>
    <w:uiPriority w:val="39"/>
    <w:semiHidden/>
    <w:unhideWhenUsed/>
    <w:qFormat/>
    <w:rsid w:val="00EE1E0B"/>
    <w:pPr>
      <w:widowControl/>
      <w:suppressAutoHyphens w:val="0"/>
      <w:spacing w:after="100" w:line="276" w:lineRule="auto"/>
      <w:ind w:left="220"/>
      <w:jc w:val="left"/>
    </w:pPr>
    <w:rPr>
      <w:rFonts w:asciiTheme="minorHAnsi" w:eastAsiaTheme="minorEastAsia" w:hAnsiTheme="minorHAnsi"/>
      <w:kern w:val="0"/>
      <w:sz w:val="22"/>
      <w:szCs w:val="22"/>
      <w:lang w:eastAsia="en-US" w:bidi="ar-SA"/>
    </w:rPr>
  </w:style>
  <w:style w:type="paragraph" w:styleId="TOC3">
    <w:name w:val="toc 3"/>
    <w:basedOn w:val="Normal"/>
    <w:next w:val="Normal"/>
    <w:autoRedefine/>
    <w:uiPriority w:val="39"/>
    <w:semiHidden/>
    <w:unhideWhenUsed/>
    <w:qFormat/>
    <w:rsid w:val="00EE1E0B"/>
    <w:pPr>
      <w:widowControl/>
      <w:suppressAutoHyphens w:val="0"/>
      <w:spacing w:after="100" w:line="276" w:lineRule="auto"/>
      <w:ind w:left="440"/>
      <w:jc w:val="left"/>
    </w:pPr>
    <w:rPr>
      <w:rFonts w:asciiTheme="minorHAnsi" w:eastAsiaTheme="minorEastAsia" w:hAnsiTheme="minorHAnsi"/>
      <w:kern w:val="0"/>
      <w:sz w:val="22"/>
      <w:szCs w:val="22"/>
      <w:lang w:eastAsia="en-US" w:bidi="ar-SA"/>
    </w:rPr>
  </w:style>
  <w:style w:type="paragraph" w:styleId="NoSpacing">
    <w:name w:val="No Spacing"/>
    <w:uiPriority w:val="1"/>
    <w:qFormat/>
    <w:rsid w:val="00174330"/>
    <w:pPr>
      <w:widowControl w:val="0"/>
      <w:suppressAutoHyphens/>
      <w:jc w:val="both"/>
    </w:pPr>
    <w:rPr>
      <w:rFonts w:eastAsia="DejaVu Sans" w:cstheme="minorBidi"/>
      <w:kern w:val="1"/>
      <w:sz w:val="24"/>
      <w:szCs w:val="24"/>
      <w:lang w:eastAsia="he-IL"/>
    </w:rPr>
  </w:style>
  <w:style w:type="character" w:styleId="PlaceholderText">
    <w:name w:val="Placeholder Text"/>
    <w:basedOn w:val="DefaultParagraphFont"/>
    <w:uiPriority w:val="99"/>
    <w:semiHidden/>
    <w:rsid w:val="002E47F8"/>
    <w:rPr>
      <w:color w:val="808080"/>
    </w:rPr>
  </w:style>
  <w:style w:type="table" w:customStyle="1" w:styleId="LightShading3">
    <w:name w:val="Light Shading3"/>
    <w:basedOn w:val="TableNormal"/>
    <w:uiPriority w:val="60"/>
    <w:rsid w:val="002E47F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z3988">
    <w:name w:val="z3988"/>
    <w:basedOn w:val="DefaultParagraphFont"/>
    <w:rsid w:val="007D3619"/>
  </w:style>
  <w:style w:type="paragraph" w:styleId="NormalWeb">
    <w:name w:val="Normal (Web)"/>
    <w:basedOn w:val="Normal"/>
    <w:uiPriority w:val="99"/>
    <w:unhideWhenUsed/>
    <w:rsid w:val="00A0299C"/>
    <w:pPr>
      <w:widowControl/>
      <w:suppressAutoHyphens w:val="0"/>
      <w:spacing w:before="100" w:beforeAutospacing="1" w:after="100" w:afterAutospacing="1" w:line="240" w:lineRule="auto"/>
      <w:jc w:val="left"/>
    </w:pPr>
    <w:rPr>
      <w:rFonts w:eastAsia="Times New Roman" w:cs="Times New Roman"/>
      <w:kern w:val="0"/>
      <w:lang w:eastAsia="en-US"/>
    </w:rPr>
  </w:style>
  <w:style w:type="paragraph" w:customStyle="1" w:styleId="Default">
    <w:name w:val="Default"/>
    <w:rsid w:val="007F3D60"/>
    <w:pPr>
      <w:autoSpaceDE w:val="0"/>
      <w:autoSpaceDN w:val="0"/>
      <w:adjustRightInd w:val="0"/>
    </w:pPr>
    <w:rPr>
      <w:color w:val="000000"/>
      <w:sz w:val="24"/>
      <w:szCs w:val="24"/>
    </w:rPr>
  </w:style>
  <w:style w:type="character" w:customStyle="1" w:styleId="apple-style-span">
    <w:name w:val="apple-style-span"/>
    <w:basedOn w:val="DefaultParagraphFont"/>
    <w:rsid w:val="004C7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7901">
      <w:bodyDiv w:val="1"/>
      <w:marLeft w:val="0"/>
      <w:marRight w:val="0"/>
      <w:marTop w:val="0"/>
      <w:marBottom w:val="0"/>
      <w:divBdr>
        <w:top w:val="none" w:sz="0" w:space="0" w:color="auto"/>
        <w:left w:val="none" w:sz="0" w:space="0" w:color="auto"/>
        <w:bottom w:val="none" w:sz="0" w:space="0" w:color="auto"/>
        <w:right w:val="none" w:sz="0" w:space="0" w:color="auto"/>
      </w:divBdr>
    </w:div>
    <w:div w:id="507721403">
      <w:bodyDiv w:val="1"/>
      <w:marLeft w:val="0"/>
      <w:marRight w:val="0"/>
      <w:marTop w:val="0"/>
      <w:marBottom w:val="0"/>
      <w:divBdr>
        <w:top w:val="none" w:sz="0" w:space="0" w:color="auto"/>
        <w:left w:val="none" w:sz="0" w:space="0" w:color="auto"/>
        <w:bottom w:val="none" w:sz="0" w:space="0" w:color="auto"/>
        <w:right w:val="none" w:sz="0" w:space="0" w:color="auto"/>
      </w:divBdr>
      <w:divsChild>
        <w:div w:id="2036346193">
          <w:marLeft w:val="720"/>
          <w:marRight w:val="0"/>
          <w:marTop w:val="0"/>
          <w:marBottom w:val="0"/>
          <w:divBdr>
            <w:top w:val="none" w:sz="0" w:space="0" w:color="auto"/>
            <w:left w:val="none" w:sz="0" w:space="0" w:color="auto"/>
            <w:bottom w:val="none" w:sz="0" w:space="0" w:color="auto"/>
            <w:right w:val="none" w:sz="0" w:space="0" w:color="auto"/>
          </w:divBdr>
        </w:div>
      </w:divsChild>
    </w:div>
    <w:div w:id="664165975">
      <w:bodyDiv w:val="1"/>
      <w:marLeft w:val="0"/>
      <w:marRight w:val="0"/>
      <w:marTop w:val="0"/>
      <w:marBottom w:val="0"/>
      <w:divBdr>
        <w:top w:val="none" w:sz="0" w:space="0" w:color="auto"/>
        <w:left w:val="none" w:sz="0" w:space="0" w:color="auto"/>
        <w:bottom w:val="none" w:sz="0" w:space="0" w:color="auto"/>
        <w:right w:val="none" w:sz="0" w:space="0" w:color="auto"/>
      </w:divBdr>
    </w:div>
    <w:div w:id="693307288">
      <w:bodyDiv w:val="1"/>
      <w:marLeft w:val="0"/>
      <w:marRight w:val="0"/>
      <w:marTop w:val="0"/>
      <w:marBottom w:val="0"/>
      <w:divBdr>
        <w:top w:val="none" w:sz="0" w:space="0" w:color="auto"/>
        <w:left w:val="none" w:sz="0" w:space="0" w:color="auto"/>
        <w:bottom w:val="none" w:sz="0" w:space="0" w:color="auto"/>
        <w:right w:val="none" w:sz="0" w:space="0" w:color="auto"/>
      </w:divBdr>
      <w:divsChild>
        <w:div w:id="145438128">
          <w:marLeft w:val="720"/>
          <w:marRight w:val="0"/>
          <w:marTop w:val="0"/>
          <w:marBottom w:val="0"/>
          <w:divBdr>
            <w:top w:val="none" w:sz="0" w:space="0" w:color="auto"/>
            <w:left w:val="none" w:sz="0" w:space="0" w:color="auto"/>
            <w:bottom w:val="none" w:sz="0" w:space="0" w:color="auto"/>
            <w:right w:val="none" w:sz="0" w:space="0" w:color="auto"/>
          </w:divBdr>
        </w:div>
      </w:divsChild>
    </w:div>
    <w:div w:id="697003468">
      <w:bodyDiv w:val="1"/>
      <w:marLeft w:val="0"/>
      <w:marRight w:val="0"/>
      <w:marTop w:val="0"/>
      <w:marBottom w:val="0"/>
      <w:divBdr>
        <w:top w:val="none" w:sz="0" w:space="0" w:color="auto"/>
        <w:left w:val="none" w:sz="0" w:space="0" w:color="auto"/>
        <w:bottom w:val="none" w:sz="0" w:space="0" w:color="auto"/>
        <w:right w:val="none" w:sz="0" w:space="0" w:color="auto"/>
      </w:divBdr>
    </w:div>
    <w:div w:id="790133166">
      <w:bodyDiv w:val="1"/>
      <w:marLeft w:val="0"/>
      <w:marRight w:val="0"/>
      <w:marTop w:val="0"/>
      <w:marBottom w:val="0"/>
      <w:divBdr>
        <w:top w:val="none" w:sz="0" w:space="0" w:color="auto"/>
        <w:left w:val="none" w:sz="0" w:space="0" w:color="auto"/>
        <w:bottom w:val="none" w:sz="0" w:space="0" w:color="auto"/>
        <w:right w:val="none" w:sz="0" w:space="0" w:color="auto"/>
      </w:divBdr>
      <w:divsChild>
        <w:div w:id="2123837741">
          <w:marLeft w:val="720"/>
          <w:marRight w:val="0"/>
          <w:marTop w:val="0"/>
          <w:marBottom w:val="0"/>
          <w:divBdr>
            <w:top w:val="none" w:sz="0" w:space="0" w:color="auto"/>
            <w:left w:val="none" w:sz="0" w:space="0" w:color="auto"/>
            <w:bottom w:val="none" w:sz="0" w:space="0" w:color="auto"/>
            <w:right w:val="none" w:sz="0" w:space="0" w:color="auto"/>
          </w:divBdr>
        </w:div>
      </w:divsChild>
    </w:div>
    <w:div w:id="831221971">
      <w:bodyDiv w:val="1"/>
      <w:marLeft w:val="0"/>
      <w:marRight w:val="0"/>
      <w:marTop w:val="0"/>
      <w:marBottom w:val="0"/>
      <w:divBdr>
        <w:top w:val="none" w:sz="0" w:space="0" w:color="auto"/>
        <w:left w:val="none" w:sz="0" w:space="0" w:color="auto"/>
        <w:bottom w:val="none" w:sz="0" w:space="0" w:color="auto"/>
        <w:right w:val="none" w:sz="0" w:space="0" w:color="auto"/>
      </w:divBdr>
      <w:divsChild>
        <w:div w:id="294802065">
          <w:marLeft w:val="720"/>
          <w:marRight w:val="0"/>
          <w:marTop w:val="0"/>
          <w:marBottom w:val="0"/>
          <w:divBdr>
            <w:top w:val="none" w:sz="0" w:space="0" w:color="auto"/>
            <w:left w:val="none" w:sz="0" w:space="0" w:color="auto"/>
            <w:bottom w:val="none" w:sz="0" w:space="0" w:color="auto"/>
            <w:right w:val="none" w:sz="0" w:space="0" w:color="auto"/>
          </w:divBdr>
        </w:div>
      </w:divsChild>
    </w:div>
    <w:div w:id="1000351382">
      <w:bodyDiv w:val="1"/>
      <w:marLeft w:val="0"/>
      <w:marRight w:val="0"/>
      <w:marTop w:val="0"/>
      <w:marBottom w:val="0"/>
      <w:divBdr>
        <w:top w:val="none" w:sz="0" w:space="0" w:color="auto"/>
        <w:left w:val="none" w:sz="0" w:space="0" w:color="auto"/>
        <w:bottom w:val="none" w:sz="0" w:space="0" w:color="auto"/>
        <w:right w:val="none" w:sz="0" w:space="0" w:color="auto"/>
      </w:divBdr>
    </w:div>
    <w:div w:id="1017006125">
      <w:bodyDiv w:val="1"/>
      <w:marLeft w:val="0"/>
      <w:marRight w:val="0"/>
      <w:marTop w:val="0"/>
      <w:marBottom w:val="0"/>
      <w:divBdr>
        <w:top w:val="none" w:sz="0" w:space="0" w:color="auto"/>
        <w:left w:val="none" w:sz="0" w:space="0" w:color="auto"/>
        <w:bottom w:val="none" w:sz="0" w:space="0" w:color="auto"/>
        <w:right w:val="none" w:sz="0" w:space="0" w:color="auto"/>
      </w:divBdr>
    </w:div>
    <w:div w:id="1113596871">
      <w:bodyDiv w:val="1"/>
      <w:marLeft w:val="0"/>
      <w:marRight w:val="0"/>
      <w:marTop w:val="0"/>
      <w:marBottom w:val="0"/>
      <w:divBdr>
        <w:top w:val="none" w:sz="0" w:space="0" w:color="auto"/>
        <w:left w:val="none" w:sz="0" w:space="0" w:color="auto"/>
        <w:bottom w:val="none" w:sz="0" w:space="0" w:color="auto"/>
        <w:right w:val="none" w:sz="0" w:space="0" w:color="auto"/>
      </w:divBdr>
      <w:divsChild>
        <w:div w:id="1805658834">
          <w:marLeft w:val="720"/>
          <w:marRight w:val="0"/>
          <w:marTop w:val="0"/>
          <w:marBottom w:val="0"/>
          <w:divBdr>
            <w:top w:val="none" w:sz="0" w:space="0" w:color="auto"/>
            <w:left w:val="none" w:sz="0" w:space="0" w:color="auto"/>
            <w:bottom w:val="none" w:sz="0" w:space="0" w:color="auto"/>
            <w:right w:val="none" w:sz="0" w:space="0" w:color="auto"/>
          </w:divBdr>
        </w:div>
      </w:divsChild>
    </w:div>
    <w:div w:id="1308248127">
      <w:bodyDiv w:val="1"/>
      <w:marLeft w:val="0"/>
      <w:marRight w:val="0"/>
      <w:marTop w:val="0"/>
      <w:marBottom w:val="0"/>
      <w:divBdr>
        <w:top w:val="none" w:sz="0" w:space="0" w:color="auto"/>
        <w:left w:val="none" w:sz="0" w:space="0" w:color="auto"/>
        <w:bottom w:val="none" w:sz="0" w:space="0" w:color="auto"/>
        <w:right w:val="none" w:sz="0" w:space="0" w:color="auto"/>
      </w:divBdr>
    </w:div>
    <w:div w:id="1317799787">
      <w:bodyDiv w:val="1"/>
      <w:marLeft w:val="0"/>
      <w:marRight w:val="0"/>
      <w:marTop w:val="0"/>
      <w:marBottom w:val="0"/>
      <w:divBdr>
        <w:top w:val="none" w:sz="0" w:space="0" w:color="auto"/>
        <w:left w:val="none" w:sz="0" w:space="0" w:color="auto"/>
        <w:bottom w:val="none" w:sz="0" w:space="0" w:color="auto"/>
        <w:right w:val="none" w:sz="0" w:space="0" w:color="auto"/>
      </w:divBdr>
      <w:divsChild>
        <w:div w:id="1157721942">
          <w:marLeft w:val="720"/>
          <w:marRight w:val="0"/>
          <w:marTop w:val="0"/>
          <w:marBottom w:val="0"/>
          <w:divBdr>
            <w:top w:val="none" w:sz="0" w:space="0" w:color="auto"/>
            <w:left w:val="none" w:sz="0" w:space="0" w:color="auto"/>
            <w:bottom w:val="none" w:sz="0" w:space="0" w:color="auto"/>
            <w:right w:val="none" w:sz="0" w:space="0" w:color="auto"/>
          </w:divBdr>
        </w:div>
      </w:divsChild>
    </w:div>
    <w:div w:id="1397781718">
      <w:bodyDiv w:val="1"/>
      <w:marLeft w:val="0"/>
      <w:marRight w:val="0"/>
      <w:marTop w:val="0"/>
      <w:marBottom w:val="0"/>
      <w:divBdr>
        <w:top w:val="none" w:sz="0" w:space="0" w:color="auto"/>
        <w:left w:val="none" w:sz="0" w:space="0" w:color="auto"/>
        <w:bottom w:val="none" w:sz="0" w:space="0" w:color="auto"/>
        <w:right w:val="none" w:sz="0" w:space="0" w:color="auto"/>
      </w:divBdr>
      <w:divsChild>
        <w:div w:id="949508578">
          <w:marLeft w:val="720"/>
          <w:marRight w:val="0"/>
          <w:marTop w:val="0"/>
          <w:marBottom w:val="0"/>
          <w:divBdr>
            <w:top w:val="none" w:sz="0" w:space="0" w:color="auto"/>
            <w:left w:val="none" w:sz="0" w:space="0" w:color="auto"/>
            <w:bottom w:val="none" w:sz="0" w:space="0" w:color="auto"/>
            <w:right w:val="none" w:sz="0" w:space="0" w:color="auto"/>
          </w:divBdr>
        </w:div>
      </w:divsChild>
    </w:div>
    <w:div w:id="1422531599">
      <w:bodyDiv w:val="1"/>
      <w:marLeft w:val="0"/>
      <w:marRight w:val="0"/>
      <w:marTop w:val="0"/>
      <w:marBottom w:val="0"/>
      <w:divBdr>
        <w:top w:val="none" w:sz="0" w:space="0" w:color="auto"/>
        <w:left w:val="none" w:sz="0" w:space="0" w:color="auto"/>
        <w:bottom w:val="none" w:sz="0" w:space="0" w:color="auto"/>
        <w:right w:val="none" w:sz="0" w:space="0" w:color="auto"/>
      </w:divBdr>
      <w:divsChild>
        <w:div w:id="1759016370">
          <w:marLeft w:val="720"/>
          <w:marRight w:val="0"/>
          <w:marTop w:val="0"/>
          <w:marBottom w:val="0"/>
          <w:divBdr>
            <w:top w:val="none" w:sz="0" w:space="0" w:color="auto"/>
            <w:left w:val="none" w:sz="0" w:space="0" w:color="auto"/>
            <w:bottom w:val="none" w:sz="0" w:space="0" w:color="auto"/>
            <w:right w:val="none" w:sz="0" w:space="0" w:color="auto"/>
          </w:divBdr>
        </w:div>
      </w:divsChild>
    </w:div>
    <w:div w:id="1465271740">
      <w:bodyDiv w:val="1"/>
      <w:marLeft w:val="0"/>
      <w:marRight w:val="0"/>
      <w:marTop w:val="0"/>
      <w:marBottom w:val="0"/>
      <w:divBdr>
        <w:top w:val="none" w:sz="0" w:space="0" w:color="auto"/>
        <w:left w:val="none" w:sz="0" w:space="0" w:color="auto"/>
        <w:bottom w:val="none" w:sz="0" w:space="0" w:color="auto"/>
        <w:right w:val="none" w:sz="0" w:space="0" w:color="auto"/>
      </w:divBdr>
    </w:div>
    <w:div w:id="1469127596">
      <w:bodyDiv w:val="1"/>
      <w:marLeft w:val="0"/>
      <w:marRight w:val="0"/>
      <w:marTop w:val="0"/>
      <w:marBottom w:val="0"/>
      <w:divBdr>
        <w:top w:val="none" w:sz="0" w:space="0" w:color="auto"/>
        <w:left w:val="none" w:sz="0" w:space="0" w:color="auto"/>
        <w:bottom w:val="none" w:sz="0" w:space="0" w:color="auto"/>
        <w:right w:val="none" w:sz="0" w:space="0" w:color="auto"/>
      </w:divBdr>
    </w:div>
    <w:div w:id="1584147378">
      <w:bodyDiv w:val="1"/>
      <w:marLeft w:val="0"/>
      <w:marRight w:val="0"/>
      <w:marTop w:val="0"/>
      <w:marBottom w:val="0"/>
      <w:divBdr>
        <w:top w:val="none" w:sz="0" w:space="0" w:color="auto"/>
        <w:left w:val="none" w:sz="0" w:space="0" w:color="auto"/>
        <w:bottom w:val="none" w:sz="0" w:space="0" w:color="auto"/>
        <w:right w:val="none" w:sz="0" w:space="0" w:color="auto"/>
      </w:divBdr>
    </w:div>
    <w:div w:id="1735352338">
      <w:bodyDiv w:val="1"/>
      <w:marLeft w:val="0"/>
      <w:marRight w:val="0"/>
      <w:marTop w:val="0"/>
      <w:marBottom w:val="0"/>
      <w:divBdr>
        <w:top w:val="none" w:sz="0" w:space="0" w:color="auto"/>
        <w:left w:val="none" w:sz="0" w:space="0" w:color="auto"/>
        <w:bottom w:val="none" w:sz="0" w:space="0" w:color="auto"/>
        <w:right w:val="none" w:sz="0" w:space="0" w:color="auto"/>
      </w:divBdr>
    </w:div>
    <w:div w:id="1755399839">
      <w:bodyDiv w:val="1"/>
      <w:marLeft w:val="0"/>
      <w:marRight w:val="0"/>
      <w:marTop w:val="0"/>
      <w:marBottom w:val="0"/>
      <w:divBdr>
        <w:top w:val="none" w:sz="0" w:space="0" w:color="auto"/>
        <w:left w:val="none" w:sz="0" w:space="0" w:color="auto"/>
        <w:bottom w:val="none" w:sz="0" w:space="0" w:color="auto"/>
        <w:right w:val="none" w:sz="0" w:space="0" w:color="auto"/>
      </w:divBdr>
    </w:div>
    <w:div w:id="1932469043">
      <w:bodyDiv w:val="1"/>
      <w:marLeft w:val="0"/>
      <w:marRight w:val="0"/>
      <w:marTop w:val="0"/>
      <w:marBottom w:val="0"/>
      <w:divBdr>
        <w:top w:val="none" w:sz="0" w:space="0" w:color="auto"/>
        <w:left w:val="none" w:sz="0" w:space="0" w:color="auto"/>
        <w:bottom w:val="none" w:sz="0" w:space="0" w:color="auto"/>
        <w:right w:val="none" w:sz="0" w:space="0" w:color="auto"/>
      </w:divBdr>
    </w:div>
    <w:div w:id="2021198723">
      <w:bodyDiv w:val="1"/>
      <w:marLeft w:val="0"/>
      <w:marRight w:val="0"/>
      <w:marTop w:val="0"/>
      <w:marBottom w:val="0"/>
      <w:divBdr>
        <w:top w:val="none" w:sz="0" w:space="0" w:color="auto"/>
        <w:left w:val="none" w:sz="0" w:space="0" w:color="auto"/>
        <w:bottom w:val="none" w:sz="0" w:space="0" w:color="auto"/>
        <w:right w:val="none" w:sz="0" w:space="0" w:color="auto"/>
      </w:divBdr>
    </w:div>
    <w:div w:id="2081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6.xml"/><Relationship Id="rId26" Type="http://schemas.openxmlformats.org/officeDocument/2006/relationships/oleObject" Target="embeddings/oleObject6.bin"/><Relationship Id="rId39" Type="http://schemas.openxmlformats.org/officeDocument/2006/relationships/hyperlink" Target="http://www.cbs.gov.il/www/publications09/1381/pdf/t08.pdf" TargetMode="External"/><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hyperlink" Target="http://www.auto.co.il/" TargetMode="External"/><Relationship Id="rId42" Type="http://schemas.openxmlformats.org/officeDocument/2006/relationships/hyperlink" Target="http://nhts.ornl.gov" TargetMode="Externa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5.xml"/><Relationship Id="rId25" Type="http://schemas.openxmlformats.org/officeDocument/2006/relationships/image" Target="media/image6.wmf"/><Relationship Id="rId33" Type="http://schemas.openxmlformats.org/officeDocument/2006/relationships/hyperlink" Target="http://www.mobility.ch" TargetMode="External"/><Relationship Id="rId38" Type="http://schemas.openxmlformats.org/officeDocument/2006/relationships/hyperlink" Target="http://www.iplma.org.il/&#1495;&#1491;&#1513;&#1493;&#1514;/&#1495;&#1491;&#1513;&#1493;&#1514;/&#1499;&#1500;&#1499;&#1500;&#1492;-&#1493;&#1492;&#1513;&#1511;&#1506;&#1493;&#1514;/&#1499;&#1502;&#1492;-&#1506;&#1493;&#1500;&#1492;-&#1488;&#1495;&#1494;&#1511;&#1514;-&#1512;&#1499;&#1489;-.aspx"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oleObject" Target="embeddings/oleObject3.bin"/><Relationship Id="rId29" Type="http://schemas.openxmlformats.org/officeDocument/2006/relationships/chart" Target="charts/chart9.xml"/><Relationship Id="rId41" Type="http://schemas.openxmlformats.org/officeDocument/2006/relationships/hyperlink" Target="http://ww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oleObject" Target="embeddings/oleObject5.bin"/><Relationship Id="rId32" Type="http://schemas.openxmlformats.org/officeDocument/2006/relationships/hyperlink" Target="http://carshare.org/rates" TargetMode="External"/><Relationship Id="rId37" Type="http://schemas.openxmlformats.org/officeDocument/2006/relationships/hyperlink" Target="http://www.elgalcar.co.il/content/13937" TargetMode="External"/><Relationship Id="rId40" Type="http://schemas.openxmlformats.org/officeDocument/2006/relationships/hyperlink" Target="http://www.finance.gov.il/taxes/misui150108.pdf"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image" Target="media/image5.wmf"/><Relationship Id="rId28" Type="http://schemas.openxmlformats.org/officeDocument/2006/relationships/chart" Target="charts/chart8.xml"/><Relationship Id="rId36" Type="http://schemas.openxmlformats.org/officeDocument/2006/relationships/hyperlink" Target="http://www.delekzol.co.il/" TargetMode="External"/><Relationship Id="rId10" Type="http://schemas.openxmlformats.org/officeDocument/2006/relationships/oleObject" Target="embeddings/oleObject1.bin"/><Relationship Id="rId19" Type="http://schemas.openxmlformats.org/officeDocument/2006/relationships/image" Target="media/image3.wmf"/><Relationship Id="rId31" Type="http://schemas.openxmlformats.org/officeDocument/2006/relationships/hyperlink" Target="http://www.connectbyhertz.com"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emf"/><Relationship Id="rId22" Type="http://schemas.openxmlformats.org/officeDocument/2006/relationships/oleObject" Target="embeddings/oleObject4.bin"/><Relationship Id="rId27" Type="http://schemas.openxmlformats.org/officeDocument/2006/relationships/chart" Target="charts/chart7.xml"/><Relationship Id="rId30" Type="http://schemas.openxmlformats.org/officeDocument/2006/relationships/footer" Target="footer1.xml"/><Relationship Id="rId35" Type="http://schemas.openxmlformats.org/officeDocument/2006/relationships/hyperlink" Target="http://www.bankisrael.gov.il/deptdata/monetar/interest/bointcre.htm" TargetMode="External"/><Relationship Id="rId43" Type="http://schemas.openxmlformats.org/officeDocument/2006/relationships/hyperlink" Target="http://www.yasai.rutgers.ed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bs.gov.il/www/publications09/1381/pdf/t08.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itamar\Desktop\Work\Uni\Calc%20Semi\Carsharing%20tariffs%20april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itamar\Desktop\Work\Uni\Calc%20Semi\Carsharing%20tariffs.xls"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C:\Users\itamar\Desktop\Work\Uni\Calc%20Semi\seminar$1%20(version%201)%20april17.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itamar\Desktop\Work\Uni\Calc%20Semi\Carsharing%20tariffs.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itamar\Desktop\Work\Uni\Calc%20Semi\Carsharing%20tariffs%20april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itamar\Desktop\Work\Uni\Calc%20Semi\Carsharing%20tariffs.xls" TargetMode="External"/></Relationships>
</file>

<file path=word/charts/_rels/chart7.xml.rels><?xml version="1.0" encoding="UTF-8" standalone="yes"?>
<Relationships xmlns="http://schemas.openxmlformats.org/package/2006/relationships"><Relationship Id="rId2" Type="http://schemas.openxmlformats.org/officeDocument/2006/relationships/oleObject" Target="file:///C:\Users\itamar\Desktop\Work\Uni\Calc%20Semi\seminar$1%20(version%201)%20april17.xlsx" TargetMode="External"/><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itamar\Desktop\Work\Uni\Calc%20Semi\seminar$1%20(version%201)%20april17.xlsx" TargetMode="External"/><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1" Type="http://schemas.openxmlformats.org/officeDocument/2006/relationships/oleObject" Target="file:///C:\Users\itamar\Desktop\Work\Uni\Calc%20Semi\seminar$1%20(version%201)%20april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lang="en-US" sz="1300" b="0" i="0" u="none" strike="noStrike" baseline="0">
                <a:solidFill>
                  <a:srgbClr val="1A1A1A"/>
                </a:solidFill>
                <a:latin typeface="Arial"/>
                <a:ea typeface="Arial"/>
                <a:cs typeface="Arial"/>
              </a:defRPr>
            </a:pPr>
            <a:r>
              <a:rPr lang="en-US" sz="900"/>
              <a:t>Price per km in NIS
for intensive users</a:t>
            </a:r>
          </a:p>
        </c:rich>
      </c:tx>
      <c:layout>
        <c:manualLayout>
          <c:xMode val="edge"/>
          <c:yMode val="edge"/>
          <c:x val="0.12132206364477148"/>
          <c:y val="2.5135646077991212E-2"/>
        </c:manualLayout>
      </c:layout>
      <c:overlay val="0"/>
      <c:spPr>
        <a:noFill/>
        <a:ln w="25400">
          <a:noFill/>
        </a:ln>
      </c:spPr>
    </c:title>
    <c:autoTitleDeleted val="0"/>
    <c:plotArea>
      <c:layout>
        <c:manualLayout>
          <c:layoutTarget val="inner"/>
          <c:xMode val="edge"/>
          <c:yMode val="edge"/>
          <c:x val="0.1096533607408134"/>
          <c:y val="0.14136299575063271"/>
          <c:w val="0.93406704783254058"/>
          <c:h val="0.6104908907112"/>
        </c:manualLayout>
      </c:layout>
      <c:barChart>
        <c:barDir val="col"/>
        <c:grouping val="clustered"/>
        <c:varyColors val="0"/>
        <c:ser>
          <c:idx val="1"/>
          <c:order val="1"/>
          <c:tx>
            <c:strRef>
              <c:f>'Km rates'!$K$1</c:f>
            </c:strRef>
          </c:tx>
          <c:spPr>
            <a:solidFill>
              <a:srgbClr val="004586"/>
            </a:solidFill>
            <a:ln w="3175">
              <a:solidFill>
                <a:srgbClr val="000000"/>
              </a:solidFill>
              <a:prstDash val="solid"/>
            </a:ln>
          </c:spPr>
          <c:invertIfNegative val="0"/>
          <c:cat>
            <c:multiLvlStrRef>
              <c:f>'Km rates'!$B$2:$B$13</c:f>
            </c:multiLvlStrRef>
          </c:cat>
          <c:val>
            <c:numRef>
              <c:f>'Km rates'!$K$2:$K$13</c:f>
            </c:numRef>
          </c:val>
        </c:ser>
        <c:ser>
          <c:idx val="0"/>
          <c:order val="0"/>
          <c:tx>
            <c:strRef>
              <c:f>'[Carsharing tariffs april2.xlsx]Km rates'!$K$1</c:f>
              <c:strCache>
                <c:ptCount val="1"/>
                <c:pt idx="0">
                  <c:v>km</c:v>
                </c:pt>
              </c:strCache>
            </c:strRef>
          </c:tx>
          <c:spPr>
            <a:solidFill>
              <a:srgbClr val="004586"/>
            </a:solidFill>
            <a:ln w="3175">
              <a:solidFill>
                <a:srgbClr val="000000"/>
              </a:solidFill>
              <a:prstDash val="solid"/>
            </a:ln>
          </c:spPr>
          <c:invertIfNegative val="0"/>
          <c:dPt>
            <c:idx val="7"/>
            <c:invertIfNegative val="0"/>
            <c:bubble3D val="0"/>
            <c:spPr>
              <a:solidFill>
                <a:srgbClr val="FF420E"/>
              </a:solidFill>
              <a:ln w="3175">
                <a:solidFill>
                  <a:srgbClr val="000000"/>
                </a:solidFill>
                <a:prstDash val="solid"/>
              </a:ln>
            </c:spPr>
          </c:dPt>
          <c:dPt>
            <c:idx val="8"/>
            <c:invertIfNegative val="0"/>
            <c:bubble3D val="0"/>
            <c:spPr>
              <a:solidFill>
                <a:srgbClr val="FF420E"/>
              </a:solidFill>
              <a:ln w="3175">
                <a:solidFill>
                  <a:srgbClr val="000000"/>
                </a:solidFill>
                <a:prstDash val="solid"/>
              </a:ln>
            </c:spPr>
          </c:dPt>
          <c:dLbls>
            <c:numFmt formatCode="#,##0.00" sourceLinked="0"/>
            <c:spPr>
              <a:noFill/>
              <a:ln w="25400">
                <a:noFill/>
              </a:ln>
            </c:spPr>
            <c:txPr>
              <a:bodyPr/>
              <a:lstStyle/>
              <a:p>
                <a:pPr>
                  <a:defRPr lang="en-US" sz="800" b="0" i="0" u="none" strike="noStrike" baseline="0">
                    <a:solidFill>
                      <a:srgbClr val="1A1A1A"/>
                    </a:solidFill>
                    <a:latin typeface="Arial"/>
                    <a:ea typeface="Arial"/>
                    <a:cs typeface="Arial"/>
                  </a:defRPr>
                </a:pPr>
                <a:endParaRPr lang="he-IL"/>
              </a:p>
            </c:txPr>
            <c:showLegendKey val="0"/>
            <c:showVal val="1"/>
            <c:showCatName val="0"/>
            <c:showSerName val="0"/>
            <c:showPercent val="0"/>
            <c:showBubbleSize val="0"/>
            <c:showLeaderLines val="0"/>
          </c:dLbls>
          <c:cat>
            <c:strRef>
              <c:f>'[Carsharing tariffs april2.xlsx]Km rates'!$B$2:$B$13</c:f>
              <c:strCache>
                <c:ptCount val="12"/>
                <c:pt idx="0">
                  <c:v>Germany</c:v>
                </c:pt>
                <c:pt idx="1">
                  <c:v>Berlin</c:v>
                </c:pt>
                <c:pt idx="2">
                  <c:v>Denver</c:v>
                </c:pt>
                <c:pt idx="3">
                  <c:v>Philadelphia</c:v>
                </c:pt>
                <c:pt idx="4">
                  <c:v>Paris</c:v>
                </c:pt>
                <c:pt idx="5">
                  <c:v>London</c:v>
                </c:pt>
                <c:pt idx="6">
                  <c:v>Switzerland</c:v>
                </c:pt>
                <c:pt idx="7">
                  <c:v>Tel Aviv – Value</c:v>
                </c:pt>
                <c:pt idx="8">
                  <c:v>Tel Aviv – Value +</c:v>
                </c:pt>
                <c:pt idx="9">
                  <c:v>Manhattan</c:v>
                </c:pt>
                <c:pt idx="10">
                  <c:v>Baltimore</c:v>
                </c:pt>
                <c:pt idx="11">
                  <c:v>Reference case</c:v>
                </c:pt>
              </c:strCache>
            </c:strRef>
          </c:cat>
          <c:val>
            <c:numRef>
              <c:f>'[Carsharing tariffs april2.xlsx]Km rates'!$K$2:$K$13</c:f>
              <c:numCache>
                <c:formatCode>General</c:formatCode>
                <c:ptCount val="12"/>
                <c:pt idx="0">
                  <c:v>0.97280000000000377</c:v>
                </c:pt>
                <c:pt idx="1">
                  <c:v>0.87040000000000062</c:v>
                </c:pt>
                <c:pt idx="2">
                  <c:v>0.71062499999999995</c:v>
                </c:pt>
                <c:pt idx="3">
                  <c:v>0.59218749999999576</c:v>
                </c:pt>
                <c:pt idx="4">
                  <c:v>1.7919999999999889</c:v>
                </c:pt>
                <c:pt idx="5">
                  <c:v>0.57100000000000062</c:v>
                </c:pt>
                <c:pt idx="6">
                  <c:v>1.6800000000000077</c:v>
                </c:pt>
                <c:pt idx="7">
                  <c:v>1.5</c:v>
                </c:pt>
                <c:pt idx="8">
                  <c:v>0.95000000000000062</c:v>
                </c:pt>
                <c:pt idx="9">
                  <c:v>0</c:v>
                </c:pt>
                <c:pt idx="10">
                  <c:v>0</c:v>
                </c:pt>
                <c:pt idx="11" formatCode="0.00">
                  <c:v>0.82906249999999959</c:v>
                </c:pt>
              </c:numCache>
            </c:numRef>
          </c:val>
        </c:ser>
        <c:dLbls>
          <c:showLegendKey val="0"/>
          <c:showVal val="0"/>
          <c:showCatName val="0"/>
          <c:showSerName val="0"/>
          <c:showPercent val="0"/>
          <c:showBubbleSize val="0"/>
        </c:dLbls>
        <c:gapWidth val="100"/>
        <c:axId val="61784832"/>
        <c:axId val="61786368"/>
      </c:barChart>
      <c:catAx>
        <c:axId val="61784832"/>
        <c:scaling>
          <c:orientation val="minMax"/>
        </c:scaling>
        <c:delete val="0"/>
        <c:axPos val="b"/>
        <c:numFmt formatCode="General" sourceLinked="1"/>
        <c:majorTickMark val="out"/>
        <c:minorTickMark val="none"/>
        <c:tickLblPos val="low"/>
        <c:spPr>
          <a:ln w="3175">
            <a:solidFill>
              <a:srgbClr val="B3B3B3"/>
            </a:solidFill>
            <a:prstDash val="solid"/>
          </a:ln>
        </c:spPr>
        <c:txPr>
          <a:bodyPr rot="-3600000" vert="horz"/>
          <a:lstStyle/>
          <a:p>
            <a:pPr>
              <a:defRPr lang="en-US" sz="800" b="0" i="0" u="none" strike="noStrike" baseline="0">
                <a:solidFill>
                  <a:srgbClr val="1A1A1A"/>
                </a:solidFill>
                <a:latin typeface="Arial"/>
                <a:ea typeface="Arial"/>
                <a:cs typeface="Arial"/>
              </a:defRPr>
            </a:pPr>
            <a:endParaRPr lang="he-IL"/>
          </a:p>
        </c:txPr>
        <c:crossAx val="61786368"/>
        <c:crosses val="autoZero"/>
        <c:auto val="1"/>
        <c:lblAlgn val="ctr"/>
        <c:lblOffset val="100"/>
        <c:tickLblSkip val="1"/>
        <c:tickMarkSkip val="1"/>
        <c:noMultiLvlLbl val="0"/>
      </c:catAx>
      <c:valAx>
        <c:axId val="61786368"/>
        <c:scaling>
          <c:orientation val="minMax"/>
        </c:scaling>
        <c:delete val="0"/>
        <c:axPos val="l"/>
        <c:majorGridlines>
          <c:spPr>
            <a:ln w="3175">
              <a:solidFill>
                <a:srgbClr val="B3B3B3"/>
              </a:solidFill>
              <a:prstDash val="solid"/>
            </a:ln>
          </c:spPr>
        </c:majorGridlines>
        <c:numFmt formatCode="General" sourceLinked="1"/>
        <c:majorTickMark val="out"/>
        <c:minorTickMark val="none"/>
        <c:tickLblPos val="low"/>
        <c:spPr>
          <a:ln w="3175">
            <a:solidFill>
              <a:srgbClr val="B3B3B3"/>
            </a:solidFill>
            <a:prstDash val="solid"/>
          </a:ln>
        </c:spPr>
        <c:txPr>
          <a:bodyPr rot="0" vert="horz"/>
          <a:lstStyle/>
          <a:p>
            <a:pPr>
              <a:defRPr lang="en-US" sz="800" b="0" i="0" u="none" strike="noStrike" baseline="0">
                <a:solidFill>
                  <a:srgbClr val="1A1A1A"/>
                </a:solidFill>
                <a:latin typeface="Arial"/>
                <a:ea typeface="Arial"/>
                <a:cs typeface="Arial"/>
              </a:defRPr>
            </a:pPr>
            <a:endParaRPr lang="he-IL"/>
          </a:p>
        </c:txPr>
        <c:crossAx val="61784832"/>
        <c:crosses val="autoZero"/>
        <c:crossBetween val="between"/>
      </c:valAx>
      <c:spPr>
        <a:noFill/>
        <a:ln w="3175">
          <a:solidFill>
            <a:srgbClr val="B3B3B3"/>
          </a:solidFill>
          <a:prstDash val="solid"/>
        </a:ln>
      </c:spPr>
    </c:plotArea>
    <c:plotVisOnly val="0"/>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he-I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300" b="0" i="0" u="none" strike="noStrike" baseline="0">
                <a:solidFill>
                  <a:srgbClr val="1A1A1A"/>
                </a:solidFill>
                <a:latin typeface="Arial"/>
                <a:ea typeface="Arial"/>
                <a:cs typeface="Arial"/>
              </a:defRPr>
            </a:pPr>
            <a:r>
              <a:rPr lang="en-US" sz="900"/>
              <a:t>Hourly Rates in NIS
for intensive users</a:t>
            </a:r>
          </a:p>
        </c:rich>
      </c:tx>
      <c:layout>
        <c:manualLayout>
          <c:xMode val="edge"/>
          <c:yMode val="edge"/>
          <c:x val="0.12608772840478888"/>
          <c:y val="4.4397577087558543E-3"/>
        </c:manualLayout>
      </c:layout>
      <c:overlay val="0"/>
      <c:spPr>
        <a:noFill/>
        <a:ln w="25400">
          <a:noFill/>
        </a:ln>
      </c:spPr>
    </c:title>
    <c:autoTitleDeleted val="0"/>
    <c:plotArea>
      <c:layout>
        <c:manualLayout>
          <c:layoutTarget val="inner"/>
          <c:xMode val="edge"/>
          <c:yMode val="edge"/>
          <c:x val="0.10010484537082839"/>
          <c:y val="7.3095101377708013E-2"/>
          <c:w val="0.92877094972067042"/>
          <c:h val="0.48731024858999528"/>
        </c:manualLayout>
      </c:layout>
      <c:barChart>
        <c:barDir val="col"/>
        <c:grouping val="clustered"/>
        <c:varyColors val="0"/>
        <c:ser>
          <c:idx val="0"/>
          <c:order val="0"/>
          <c:tx>
            <c:strRef>
              <c:f>'Hourly Rates'!$G$1</c:f>
              <c:strCache>
                <c:ptCount val="1"/>
                <c:pt idx="0">
                  <c:v>Hourly rate</c:v>
                </c:pt>
              </c:strCache>
            </c:strRef>
          </c:tx>
          <c:spPr>
            <a:solidFill>
              <a:srgbClr val="004586"/>
            </a:solidFill>
            <a:ln w="3175">
              <a:solidFill>
                <a:srgbClr val="000000"/>
              </a:solidFill>
              <a:prstDash val="solid"/>
            </a:ln>
          </c:spPr>
          <c:invertIfNegative val="0"/>
          <c:dPt>
            <c:idx val="7"/>
            <c:invertIfNegative val="0"/>
            <c:bubble3D val="0"/>
            <c:spPr>
              <a:solidFill>
                <a:srgbClr val="FF420E"/>
              </a:solidFill>
              <a:ln w="3175">
                <a:solidFill>
                  <a:srgbClr val="000000"/>
                </a:solidFill>
                <a:prstDash val="solid"/>
              </a:ln>
            </c:spPr>
          </c:dPt>
          <c:dPt>
            <c:idx val="8"/>
            <c:invertIfNegative val="0"/>
            <c:bubble3D val="0"/>
            <c:spPr>
              <a:solidFill>
                <a:srgbClr val="FF420E"/>
              </a:solidFill>
              <a:ln w="3175">
                <a:solidFill>
                  <a:srgbClr val="000000"/>
                </a:solidFill>
                <a:prstDash val="solid"/>
              </a:ln>
            </c:spPr>
          </c:dPt>
          <c:dLbls>
            <c:numFmt formatCode="#,##0" sourceLinked="0"/>
            <c:txPr>
              <a:bodyPr/>
              <a:lstStyle/>
              <a:p>
                <a:pPr>
                  <a:defRPr lang="en-US"/>
                </a:pPr>
                <a:endParaRPr lang="he-IL"/>
              </a:p>
            </c:txPr>
            <c:showLegendKey val="0"/>
            <c:showVal val="1"/>
            <c:showCatName val="0"/>
            <c:showSerName val="0"/>
            <c:showPercent val="0"/>
            <c:showBubbleSize val="0"/>
            <c:showLeaderLines val="0"/>
          </c:dLbls>
          <c:cat>
            <c:strRef>
              <c:f>'Hourly Rates'!$B$2:$B$13</c:f>
              <c:strCache>
                <c:ptCount val="12"/>
                <c:pt idx="0">
                  <c:v>Germany</c:v>
                </c:pt>
                <c:pt idx="1">
                  <c:v>Berlin</c:v>
                </c:pt>
                <c:pt idx="2">
                  <c:v>Denver</c:v>
                </c:pt>
                <c:pt idx="3">
                  <c:v>Philadelphia</c:v>
                </c:pt>
                <c:pt idx="4">
                  <c:v>Paris</c:v>
                </c:pt>
                <c:pt idx="5">
                  <c:v>London</c:v>
                </c:pt>
                <c:pt idx="6">
                  <c:v>Switzerland</c:v>
                </c:pt>
                <c:pt idx="7">
                  <c:v>Tel Aviv – Value</c:v>
                </c:pt>
                <c:pt idx="8">
                  <c:v>Tel Aviv – Value +</c:v>
                </c:pt>
                <c:pt idx="9">
                  <c:v>Manhattan</c:v>
                </c:pt>
                <c:pt idx="10">
                  <c:v>Baltimore</c:v>
                </c:pt>
                <c:pt idx="11">
                  <c:v>Reference case</c:v>
                </c:pt>
              </c:strCache>
            </c:strRef>
          </c:cat>
          <c:val>
            <c:numRef>
              <c:f>'Hourly Rates'!$G$2:$G$13</c:f>
              <c:numCache>
                <c:formatCode>General</c:formatCode>
                <c:ptCount val="12"/>
                <c:pt idx="0">
                  <c:v>7.68</c:v>
                </c:pt>
                <c:pt idx="1">
                  <c:v>20.479999999999986</c:v>
                </c:pt>
                <c:pt idx="2">
                  <c:v>9.4750000000000068</c:v>
                </c:pt>
                <c:pt idx="3">
                  <c:v>13.075500000000069</c:v>
                </c:pt>
                <c:pt idx="4">
                  <c:v>20.479999999999986</c:v>
                </c:pt>
                <c:pt idx="5">
                  <c:v>22.611599999999999</c:v>
                </c:pt>
                <c:pt idx="6">
                  <c:v>9.4500000000000028</c:v>
                </c:pt>
                <c:pt idx="7">
                  <c:v>11</c:v>
                </c:pt>
                <c:pt idx="8">
                  <c:v>9</c:v>
                </c:pt>
                <c:pt idx="9">
                  <c:v>32.215000000000003</c:v>
                </c:pt>
                <c:pt idx="10">
                  <c:v>25.771999999999988</c:v>
                </c:pt>
                <c:pt idx="11" formatCode="0.00">
                  <c:v>34.11</c:v>
                </c:pt>
              </c:numCache>
            </c:numRef>
          </c:val>
        </c:ser>
        <c:dLbls>
          <c:showLegendKey val="0"/>
          <c:showVal val="0"/>
          <c:showCatName val="0"/>
          <c:showSerName val="0"/>
          <c:showPercent val="0"/>
          <c:showBubbleSize val="0"/>
        </c:dLbls>
        <c:gapWidth val="100"/>
        <c:axId val="61815808"/>
        <c:axId val="61817600"/>
      </c:barChart>
      <c:catAx>
        <c:axId val="61815808"/>
        <c:scaling>
          <c:orientation val="minMax"/>
        </c:scaling>
        <c:delete val="0"/>
        <c:axPos val="b"/>
        <c:numFmt formatCode="General" sourceLinked="1"/>
        <c:majorTickMark val="out"/>
        <c:minorTickMark val="none"/>
        <c:tickLblPos val="low"/>
        <c:spPr>
          <a:ln w="3175">
            <a:solidFill>
              <a:srgbClr val="B3B3B3"/>
            </a:solidFill>
            <a:prstDash val="solid"/>
          </a:ln>
        </c:spPr>
        <c:txPr>
          <a:bodyPr rot="-3600000" vert="horz"/>
          <a:lstStyle/>
          <a:p>
            <a:pPr>
              <a:defRPr lang="en-US" sz="800" b="0" i="0" u="none" strike="noStrike" baseline="0">
                <a:solidFill>
                  <a:srgbClr val="1A1A1A"/>
                </a:solidFill>
                <a:latin typeface="Arial"/>
                <a:ea typeface="Arial"/>
                <a:cs typeface="Arial"/>
              </a:defRPr>
            </a:pPr>
            <a:endParaRPr lang="he-IL"/>
          </a:p>
        </c:txPr>
        <c:crossAx val="61817600"/>
        <c:crosses val="autoZero"/>
        <c:auto val="1"/>
        <c:lblAlgn val="ctr"/>
        <c:lblOffset val="100"/>
        <c:tickLblSkip val="1"/>
        <c:tickMarkSkip val="1"/>
        <c:noMultiLvlLbl val="0"/>
      </c:catAx>
      <c:valAx>
        <c:axId val="61817600"/>
        <c:scaling>
          <c:orientation val="minMax"/>
        </c:scaling>
        <c:delete val="0"/>
        <c:axPos val="l"/>
        <c:majorGridlines>
          <c:spPr>
            <a:ln w="3175">
              <a:solidFill>
                <a:srgbClr val="B3B3B3"/>
              </a:solidFill>
              <a:prstDash val="solid"/>
            </a:ln>
          </c:spPr>
        </c:majorGridlines>
        <c:numFmt formatCode="General" sourceLinked="1"/>
        <c:majorTickMark val="out"/>
        <c:minorTickMark val="none"/>
        <c:tickLblPos val="low"/>
        <c:spPr>
          <a:ln w="3175">
            <a:solidFill>
              <a:srgbClr val="B3B3B3"/>
            </a:solidFill>
            <a:prstDash val="solid"/>
          </a:ln>
        </c:spPr>
        <c:txPr>
          <a:bodyPr rot="0" vert="horz"/>
          <a:lstStyle/>
          <a:p>
            <a:pPr>
              <a:defRPr lang="en-US" sz="800" b="0" i="0" u="none" strike="noStrike" baseline="0">
                <a:solidFill>
                  <a:srgbClr val="1A1A1A"/>
                </a:solidFill>
                <a:latin typeface="Arial"/>
                <a:ea typeface="Arial"/>
                <a:cs typeface="Arial"/>
              </a:defRPr>
            </a:pPr>
            <a:endParaRPr lang="he-IL"/>
          </a:p>
        </c:txPr>
        <c:crossAx val="61815808"/>
        <c:crosses val="autoZero"/>
        <c:crossBetween val="between"/>
      </c:valAx>
      <c:spPr>
        <a:noFill/>
        <a:ln w="3175">
          <a:solidFill>
            <a:srgbClr val="B3B3B3"/>
          </a:solidFill>
          <a:prstDash val="solid"/>
        </a:ln>
      </c:spPr>
    </c:plotArea>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he-I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l"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800" b="1" i="0" baseline="0"/>
              <a:t>Mean Sharing Cost Distribution</a:t>
            </a:r>
            <a:endParaRPr lang="he-IL"/>
          </a:p>
          <a:p>
            <a:pPr marL="0" marR="0" indent="0" algn="l"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100" b="1" i="0" baseline="0"/>
              <a:t>for Adjusted Base Case, in NIS</a:t>
            </a:r>
            <a:endParaRPr lang="he-IL" sz="1100"/>
          </a:p>
          <a:p>
            <a:pPr marL="0" marR="0" indent="0" algn="l"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sz="1800" b="1" i="0" baseline="0"/>
          </a:p>
          <a:p>
            <a:pPr marL="0" marR="0" indent="0" algn="l"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000" b="1" i="0" baseline="0"/>
              <a:t>16'585 km/year</a:t>
            </a:r>
            <a:endParaRPr lang="he-IL" sz="1000"/>
          </a:p>
          <a:p>
            <a:pPr marL="0" marR="0" indent="0" algn="l"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000" b="1" i="0" baseline="0"/>
              <a:t>Total Sharing Costs: 42,653</a:t>
            </a:r>
            <a:endParaRPr lang="he-IL" sz="1000"/>
          </a:p>
          <a:p>
            <a:pPr marL="0" marR="0" indent="0" algn="l"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a:p>
        </c:rich>
      </c:tx>
      <c:layout>
        <c:manualLayout>
          <c:xMode val="edge"/>
          <c:yMode val="edge"/>
          <c:x val="1.9085301837270367E-2"/>
          <c:y val="3.5629556722076405E-2"/>
        </c:manualLayout>
      </c:layout>
      <c:overlay val="0"/>
    </c:title>
    <c:autoTitleDeleted val="0"/>
    <c:plotArea>
      <c:layout>
        <c:manualLayout>
          <c:layoutTarget val="inner"/>
          <c:xMode val="edge"/>
          <c:yMode val="edge"/>
          <c:x val="0.46954601157860631"/>
          <c:y val="0.25822208223972032"/>
          <c:w val="0.45044741500335717"/>
          <c:h val="0.67146694663167161"/>
        </c:manualLayout>
      </c:layout>
      <c:pieChart>
        <c:varyColors val="1"/>
        <c:ser>
          <c:idx val="1"/>
          <c:order val="0"/>
          <c:tx>
            <c:strRef>
              <c:f>'Simulation Output 13'!$D$11</c:f>
              <c:strCache>
                <c:ptCount val="1"/>
                <c:pt idx="0">
                  <c:v>Mean</c:v>
                </c:pt>
              </c:strCache>
            </c:strRef>
          </c:tx>
          <c:dLbls>
            <c:numFmt formatCode="#,##0" sourceLinked="0"/>
            <c:showLegendKey val="0"/>
            <c:showVal val="1"/>
            <c:showCatName val="0"/>
            <c:showSerName val="0"/>
            <c:showPercent val="0"/>
            <c:showBubbleSize val="0"/>
            <c:showLeaderLines val="1"/>
          </c:dLbls>
          <c:cat>
            <c:strRef>
              <c:f>('Simulation Output 13'!$A$17:$A$18,'Simulation Output 13'!$A$25:$A$26,'Simulation Output 13'!$A$30)</c:f>
              <c:strCache>
                <c:ptCount val="5"/>
                <c:pt idx="0">
                  <c:v>Mileage Costs Weekends</c:v>
                </c:pt>
                <c:pt idx="1">
                  <c:v>Mileage Costs weekdays</c:v>
                </c:pt>
                <c:pt idx="2">
                  <c:v>Time costs weekdays</c:v>
                </c:pt>
                <c:pt idx="3">
                  <c:v>Time costs weekends</c:v>
                </c:pt>
                <c:pt idx="4">
                  <c:v>Monthly Fees</c:v>
                </c:pt>
              </c:strCache>
            </c:strRef>
          </c:cat>
          <c:val>
            <c:numRef>
              <c:f>('Simulation Output 13'!$D$17:$D$18,'Simulation Output 13'!$D$25:$D$26,'Simulation Output 13'!$D$30)</c:f>
              <c:numCache>
                <c:formatCode>0.000</c:formatCode>
                <c:ptCount val="5"/>
                <c:pt idx="0">
                  <c:v>4391.0550155575829</c:v>
                </c:pt>
                <c:pt idx="1">
                  <c:v>11365.100487542568</c:v>
                </c:pt>
                <c:pt idx="2">
                  <c:v>16119.539085</c:v>
                </c:pt>
                <c:pt idx="3">
                  <c:v>8032.9747679998873</c:v>
                </c:pt>
                <c:pt idx="4" formatCode="General">
                  <c:v>2748</c:v>
                </c:pt>
              </c:numCache>
            </c:numRef>
          </c:val>
        </c:ser>
        <c:dLbls>
          <c:showLegendKey val="0"/>
          <c:showVal val="0"/>
          <c:showCatName val="0"/>
          <c:showSerName val="0"/>
          <c:showPercent val="0"/>
          <c:showBubbleSize val="0"/>
          <c:showLeaderLines val="1"/>
        </c:dLbls>
        <c:firstSliceAng val="360"/>
      </c:pieChart>
    </c:plotArea>
    <c:legend>
      <c:legendPos val="l"/>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00" b="0" i="0" u="none" strike="noStrike" baseline="0">
                <a:solidFill>
                  <a:srgbClr val="1A1A1A"/>
                </a:solidFill>
                <a:latin typeface="Arial"/>
                <a:ea typeface="Arial"/>
                <a:cs typeface="Arial"/>
              </a:defRPr>
            </a:pPr>
            <a:r>
              <a:rPr lang="en-US"/>
              <a:t>Hourly Rates in NIS
for intensive users</a:t>
            </a:r>
          </a:p>
        </c:rich>
      </c:tx>
      <c:layout>
        <c:manualLayout>
          <c:xMode val="edge"/>
          <c:yMode val="edge"/>
          <c:x val="0.39664804469273746"/>
          <c:y val="3.2994923857868036E-2"/>
        </c:manualLayout>
      </c:layout>
      <c:overlay val="0"/>
      <c:spPr>
        <a:noFill/>
        <a:ln w="25400">
          <a:noFill/>
        </a:ln>
      </c:spPr>
    </c:title>
    <c:autoTitleDeleted val="0"/>
    <c:plotArea>
      <c:layout>
        <c:manualLayout>
          <c:layoutTarget val="inner"/>
          <c:xMode val="edge"/>
          <c:yMode val="edge"/>
          <c:x val="5.1675977653631334E-2"/>
          <c:y val="0.23350282744937173"/>
          <c:w val="0.92877094972067042"/>
          <c:h val="0.48731024858999489"/>
        </c:manualLayout>
      </c:layout>
      <c:barChart>
        <c:barDir val="col"/>
        <c:grouping val="clustered"/>
        <c:varyColors val="0"/>
        <c:ser>
          <c:idx val="0"/>
          <c:order val="0"/>
          <c:tx>
            <c:strRef>
              <c:f>'Hourly Rates'!$G$1</c:f>
              <c:strCache>
                <c:ptCount val="1"/>
                <c:pt idx="0">
                  <c:v>Hourly rate</c:v>
                </c:pt>
              </c:strCache>
            </c:strRef>
          </c:tx>
          <c:spPr>
            <a:solidFill>
              <a:srgbClr val="004586"/>
            </a:solidFill>
            <a:ln w="3175">
              <a:solidFill>
                <a:srgbClr val="000000"/>
              </a:solidFill>
              <a:prstDash val="solid"/>
            </a:ln>
          </c:spPr>
          <c:invertIfNegative val="0"/>
          <c:dPt>
            <c:idx val="7"/>
            <c:invertIfNegative val="0"/>
            <c:bubble3D val="0"/>
            <c:spPr>
              <a:solidFill>
                <a:srgbClr val="FF420E"/>
              </a:solidFill>
              <a:ln w="3175">
                <a:solidFill>
                  <a:srgbClr val="000000"/>
                </a:solidFill>
                <a:prstDash val="solid"/>
              </a:ln>
            </c:spPr>
          </c:dPt>
          <c:dPt>
            <c:idx val="8"/>
            <c:invertIfNegative val="0"/>
            <c:bubble3D val="0"/>
            <c:spPr>
              <a:solidFill>
                <a:srgbClr val="FF420E"/>
              </a:solidFill>
              <a:ln w="3175">
                <a:solidFill>
                  <a:srgbClr val="000000"/>
                </a:solidFill>
                <a:prstDash val="solid"/>
              </a:ln>
            </c:spPr>
          </c:dPt>
          <c:cat>
            <c:strRef>
              <c:f>'Hourly Rates'!$B$2:$B$13</c:f>
              <c:strCache>
                <c:ptCount val="12"/>
                <c:pt idx="0">
                  <c:v>Germany</c:v>
                </c:pt>
                <c:pt idx="1">
                  <c:v>Berlin</c:v>
                </c:pt>
                <c:pt idx="2">
                  <c:v>Denver</c:v>
                </c:pt>
                <c:pt idx="3">
                  <c:v>Philadelphia</c:v>
                </c:pt>
                <c:pt idx="4">
                  <c:v>Paris</c:v>
                </c:pt>
                <c:pt idx="5">
                  <c:v>London</c:v>
                </c:pt>
                <c:pt idx="6">
                  <c:v>Switzerland</c:v>
                </c:pt>
                <c:pt idx="7">
                  <c:v>Tel Aviv – Value</c:v>
                </c:pt>
                <c:pt idx="8">
                  <c:v>Tel Aviv – Value +</c:v>
                </c:pt>
                <c:pt idx="9">
                  <c:v>Manhattan</c:v>
                </c:pt>
                <c:pt idx="10">
                  <c:v>Baltimore</c:v>
                </c:pt>
                <c:pt idx="11">
                  <c:v>Reference case</c:v>
                </c:pt>
              </c:strCache>
            </c:strRef>
          </c:cat>
          <c:val>
            <c:numRef>
              <c:f>'Hourly Rates'!$G$2:$G$13</c:f>
              <c:numCache>
                <c:formatCode>General</c:formatCode>
                <c:ptCount val="12"/>
                <c:pt idx="0">
                  <c:v>7.68</c:v>
                </c:pt>
                <c:pt idx="1">
                  <c:v>20.479999999999986</c:v>
                </c:pt>
                <c:pt idx="2">
                  <c:v>9.4750000000000068</c:v>
                </c:pt>
                <c:pt idx="3">
                  <c:v>13.075500000000057</c:v>
                </c:pt>
                <c:pt idx="4">
                  <c:v>20.479999999999986</c:v>
                </c:pt>
                <c:pt idx="5">
                  <c:v>22.611599999999999</c:v>
                </c:pt>
                <c:pt idx="6">
                  <c:v>9.4500000000000028</c:v>
                </c:pt>
                <c:pt idx="7">
                  <c:v>11</c:v>
                </c:pt>
                <c:pt idx="8">
                  <c:v>9</c:v>
                </c:pt>
                <c:pt idx="9">
                  <c:v>32.215000000000003</c:v>
                </c:pt>
                <c:pt idx="10">
                  <c:v>25.771999999999988</c:v>
                </c:pt>
                <c:pt idx="11" formatCode="0.00">
                  <c:v>34.11</c:v>
                </c:pt>
              </c:numCache>
            </c:numRef>
          </c:val>
        </c:ser>
        <c:dLbls>
          <c:showLegendKey val="0"/>
          <c:showVal val="0"/>
          <c:showCatName val="0"/>
          <c:showSerName val="0"/>
          <c:showPercent val="0"/>
          <c:showBubbleSize val="0"/>
        </c:dLbls>
        <c:gapWidth val="100"/>
        <c:axId val="61841408"/>
        <c:axId val="61842944"/>
      </c:barChart>
      <c:catAx>
        <c:axId val="61841408"/>
        <c:scaling>
          <c:orientation val="minMax"/>
        </c:scaling>
        <c:delete val="0"/>
        <c:axPos val="b"/>
        <c:numFmt formatCode="General" sourceLinked="1"/>
        <c:majorTickMark val="out"/>
        <c:minorTickMark val="none"/>
        <c:tickLblPos val="low"/>
        <c:spPr>
          <a:ln w="3175">
            <a:solidFill>
              <a:srgbClr val="B3B3B3"/>
            </a:solidFill>
            <a:prstDash val="solid"/>
          </a:ln>
        </c:spPr>
        <c:txPr>
          <a:bodyPr rot="-3600000" vert="horz"/>
          <a:lstStyle/>
          <a:p>
            <a:pPr>
              <a:defRPr sz="800" b="0" i="0" u="none" strike="noStrike" baseline="0">
                <a:solidFill>
                  <a:srgbClr val="1A1A1A"/>
                </a:solidFill>
                <a:latin typeface="Arial"/>
                <a:ea typeface="Arial"/>
                <a:cs typeface="Arial"/>
              </a:defRPr>
            </a:pPr>
            <a:endParaRPr lang="he-IL"/>
          </a:p>
        </c:txPr>
        <c:crossAx val="61842944"/>
        <c:crosses val="autoZero"/>
        <c:auto val="1"/>
        <c:lblAlgn val="ctr"/>
        <c:lblOffset val="100"/>
        <c:tickLblSkip val="1"/>
        <c:tickMarkSkip val="1"/>
        <c:noMultiLvlLbl val="0"/>
      </c:catAx>
      <c:valAx>
        <c:axId val="61842944"/>
        <c:scaling>
          <c:orientation val="minMax"/>
        </c:scaling>
        <c:delete val="0"/>
        <c:axPos val="l"/>
        <c:majorGridlines>
          <c:spPr>
            <a:ln w="3175">
              <a:solidFill>
                <a:srgbClr val="B3B3B3"/>
              </a:solidFill>
              <a:prstDash val="solid"/>
            </a:ln>
          </c:spPr>
        </c:majorGridlines>
        <c:numFmt formatCode="General" sourceLinked="1"/>
        <c:majorTickMark val="out"/>
        <c:minorTickMark val="none"/>
        <c:tickLblPos val="low"/>
        <c:spPr>
          <a:ln w="3175">
            <a:solidFill>
              <a:srgbClr val="B3B3B3"/>
            </a:solidFill>
            <a:prstDash val="solid"/>
          </a:ln>
        </c:spPr>
        <c:txPr>
          <a:bodyPr rot="0" vert="horz"/>
          <a:lstStyle/>
          <a:p>
            <a:pPr>
              <a:defRPr sz="800" b="0" i="0" u="none" strike="noStrike" baseline="0">
                <a:solidFill>
                  <a:srgbClr val="1A1A1A"/>
                </a:solidFill>
                <a:latin typeface="Arial"/>
                <a:ea typeface="Arial"/>
                <a:cs typeface="Arial"/>
              </a:defRPr>
            </a:pPr>
            <a:endParaRPr lang="he-IL"/>
          </a:p>
        </c:txPr>
        <c:crossAx val="61841408"/>
        <c:crosses val="autoZero"/>
        <c:crossBetween val="between"/>
      </c:valAx>
      <c:spPr>
        <a:noFill/>
        <a:ln w="3175">
          <a:solidFill>
            <a:srgbClr val="B3B3B3"/>
          </a:solidFill>
          <a:prstDash val="solid"/>
        </a:ln>
      </c:spPr>
    </c:plotArea>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he-I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00" b="0" i="0" u="none" strike="noStrike" baseline="0">
                <a:solidFill>
                  <a:srgbClr val="1A1A1A"/>
                </a:solidFill>
                <a:latin typeface="Arial"/>
                <a:ea typeface="Arial"/>
                <a:cs typeface="Arial"/>
              </a:defRPr>
            </a:pPr>
            <a:r>
              <a:rPr lang="en-US"/>
              <a:t>Price per km in NIS
for intensive users</a:t>
            </a:r>
          </a:p>
        </c:rich>
      </c:tx>
      <c:layout>
        <c:manualLayout>
          <c:xMode val="edge"/>
          <c:yMode val="edge"/>
          <c:x val="0.40903592179182735"/>
          <c:y val="3.0549898167006206E-2"/>
        </c:manualLayout>
      </c:layout>
      <c:overlay val="0"/>
      <c:spPr>
        <a:noFill/>
        <a:ln w="25400">
          <a:noFill/>
        </a:ln>
      </c:spPr>
    </c:title>
    <c:autoTitleDeleted val="0"/>
    <c:plotArea>
      <c:layout>
        <c:manualLayout>
          <c:layoutTarget val="inner"/>
          <c:xMode val="edge"/>
          <c:yMode val="edge"/>
          <c:x val="4.8840107076211323E-2"/>
          <c:y val="0.19551934826883921"/>
          <c:w val="0.93406704783254058"/>
          <c:h val="0.6104908907112"/>
        </c:manualLayout>
      </c:layout>
      <c:barChart>
        <c:barDir val="col"/>
        <c:grouping val="clustered"/>
        <c:varyColors val="0"/>
        <c:ser>
          <c:idx val="1"/>
          <c:order val="1"/>
          <c:tx>
            <c:strRef>
              <c:f>'Km rates'!$K$1</c:f>
            </c:strRef>
          </c:tx>
          <c:spPr>
            <a:solidFill>
              <a:srgbClr val="004586"/>
            </a:solidFill>
            <a:ln w="3175">
              <a:solidFill>
                <a:srgbClr val="000000"/>
              </a:solidFill>
              <a:prstDash val="solid"/>
            </a:ln>
          </c:spPr>
          <c:invertIfNegative val="0"/>
          <c:cat>
            <c:multiLvlStrRef>
              <c:f>'Km rates'!$B$2:$B$13</c:f>
            </c:multiLvlStrRef>
          </c:cat>
          <c:val>
            <c:numRef>
              <c:f>'Km rates'!$K$2:$K$13</c:f>
            </c:numRef>
          </c:val>
        </c:ser>
        <c:ser>
          <c:idx val="0"/>
          <c:order val="0"/>
          <c:tx>
            <c:strRef>
              <c:f>'[Carsharing tariffs april2.xlsx]Km rates'!$K$1</c:f>
              <c:strCache>
                <c:ptCount val="1"/>
                <c:pt idx="0">
                  <c:v>km</c:v>
                </c:pt>
              </c:strCache>
            </c:strRef>
          </c:tx>
          <c:spPr>
            <a:solidFill>
              <a:srgbClr val="004586"/>
            </a:solidFill>
            <a:ln w="3175">
              <a:solidFill>
                <a:srgbClr val="000000"/>
              </a:solidFill>
              <a:prstDash val="solid"/>
            </a:ln>
          </c:spPr>
          <c:invertIfNegative val="0"/>
          <c:dPt>
            <c:idx val="7"/>
            <c:invertIfNegative val="0"/>
            <c:bubble3D val="0"/>
            <c:spPr>
              <a:solidFill>
                <a:srgbClr val="FF420E"/>
              </a:solidFill>
              <a:ln w="3175">
                <a:solidFill>
                  <a:srgbClr val="000000"/>
                </a:solidFill>
                <a:prstDash val="solid"/>
              </a:ln>
            </c:spPr>
          </c:dPt>
          <c:dPt>
            <c:idx val="8"/>
            <c:invertIfNegative val="0"/>
            <c:bubble3D val="0"/>
            <c:spPr>
              <a:solidFill>
                <a:srgbClr val="FF420E"/>
              </a:solidFill>
              <a:ln w="3175">
                <a:solidFill>
                  <a:srgbClr val="000000"/>
                </a:solidFill>
                <a:prstDash val="solid"/>
              </a:ln>
            </c:spPr>
          </c:dPt>
          <c:dLbls>
            <c:numFmt formatCode="#,##0.00" sourceLinked="0"/>
            <c:spPr>
              <a:noFill/>
              <a:ln w="25400">
                <a:noFill/>
              </a:ln>
            </c:spPr>
            <c:txPr>
              <a:bodyPr/>
              <a:lstStyle/>
              <a:p>
                <a:pPr>
                  <a:defRPr sz="1000" b="0" i="0" u="none" strike="noStrike" baseline="0">
                    <a:solidFill>
                      <a:srgbClr val="1A1A1A"/>
                    </a:solidFill>
                    <a:latin typeface="Arial"/>
                    <a:ea typeface="Arial"/>
                    <a:cs typeface="Arial"/>
                  </a:defRPr>
                </a:pPr>
                <a:endParaRPr lang="he-IL"/>
              </a:p>
            </c:txPr>
            <c:showLegendKey val="0"/>
            <c:showVal val="1"/>
            <c:showCatName val="0"/>
            <c:showSerName val="0"/>
            <c:showPercent val="0"/>
            <c:showBubbleSize val="0"/>
            <c:showLeaderLines val="0"/>
          </c:dLbls>
          <c:cat>
            <c:strRef>
              <c:f>'[Carsharing tariffs april2.xlsx]Km rates'!$B$2:$B$13</c:f>
              <c:strCache>
                <c:ptCount val="12"/>
                <c:pt idx="0">
                  <c:v>Germany</c:v>
                </c:pt>
                <c:pt idx="1">
                  <c:v>Berlin</c:v>
                </c:pt>
                <c:pt idx="2">
                  <c:v>Denver</c:v>
                </c:pt>
                <c:pt idx="3">
                  <c:v>Philadelphia</c:v>
                </c:pt>
                <c:pt idx="4">
                  <c:v>Paris</c:v>
                </c:pt>
                <c:pt idx="5">
                  <c:v>London</c:v>
                </c:pt>
                <c:pt idx="6">
                  <c:v>Switzerland</c:v>
                </c:pt>
                <c:pt idx="7">
                  <c:v>Tel Aviv – Value</c:v>
                </c:pt>
                <c:pt idx="8">
                  <c:v>Tel Aviv – Value +</c:v>
                </c:pt>
                <c:pt idx="9">
                  <c:v>Manhattan</c:v>
                </c:pt>
                <c:pt idx="10">
                  <c:v>Baltimore</c:v>
                </c:pt>
                <c:pt idx="11">
                  <c:v>Reference case</c:v>
                </c:pt>
              </c:strCache>
            </c:strRef>
          </c:cat>
          <c:val>
            <c:numRef>
              <c:f>'[Carsharing tariffs april2.xlsx]Km rates'!$K$2:$K$13</c:f>
              <c:numCache>
                <c:formatCode>General</c:formatCode>
                <c:ptCount val="12"/>
                <c:pt idx="0">
                  <c:v>0.97280000000000288</c:v>
                </c:pt>
                <c:pt idx="1">
                  <c:v>0.87040000000000062</c:v>
                </c:pt>
                <c:pt idx="2">
                  <c:v>0.71062499999999995</c:v>
                </c:pt>
                <c:pt idx="3">
                  <c:v>0.59218749999999676</c:v>
                </c:pt>
                <c:pt idx="4">
                  <c:v>1.7919999999999914</c:v>
                </c:pt>
                <c:pt idx="5">
                  <c:v>0.57100000000000062</c:v>
                </c:pt>
                <c:pt idx="6">
                  <c:v>1.6800000000000057</c:v>
                </c:pt>
                <c:pt idx="7">
                  <c:v>1.5</c:v>
                </c:pt>
                <c:pt idx="8">
                  <c:v>0.95000000000000062</c:v>
                </c:pt>
                <c:pt idx="9">
                  <c:v>0</c:v>
                </c:pt>
                <c:pt idx="10">
                  <c:v>0</c:v>
                </c:pt>
                <c:pt idx="11" formatCode="0.00">
                  <c:v>0.82906249999999959</c:v>
                </c:pt>
              </c:numCache>
            </c:numRef>
          </c:val>
        </c:ser>
        <c:dLbls>
          <c:showLegendKey val="0"/>
          <c:showVal val="0"/>
          <c:showCatName val="0"/>
          <c:showSerName val="0"/>
          <c:showPercent val="0"/>
          <c:showBubbleSize val="0"/>
        </c:dLbls>
        <c:gapWidth val="100"/>
        <c:axId val="61852672"/>
        <c:axId val="61858560"/>
      </c:barChart>
      <c:catAx>
        <c:axId val="61852672"/>
        <c:scaling>
          <c:orientation val="minMax"/>
        </c:scaling>
        <c:delete val="0"/>
        <c:axPos val="b"/>
        <c:numFmt formatCode="General" sourceLinked="1"/>
        <c:majorTickMark val="out"/>
        <c:minorTickMark val="none"/>
        <c:tickLblPos val="low"/>
        <c:spPr>
          <a:ln w="3175">
            <a:solidFill>
              <a:srgbClr val="B3B3B3"/>
            </a:solidFill>
            <a:prstDash val="solid"/>
          </a:ln>
        </c:spPr>
        <c:txPr>
          <a:bodyPr rot="-3600000" vert="horz"/>
          <a:lstStyle/>
          <a:p>
            <a:pPr>
              <a:defRPr sz="800" b="0" i="0" u="none" strike="noStrike" baseline="0">
                <a:solidFill>
                  <a:srgbClr val="1A1A1A"/>
                </a:solidFill>
                <a:latin typeface="Arial"/>
                <a:ea typeface="Arial"/>
                <a:cs typeface="Arial"/>
              </a:defRPr>
            </a:pPr>
            <a:endParaRPr lang="he-IL"/>
          </a:p>
        </c:txPr>
        <c:crossAx val="61858560"/>
        <c:crosses val="autoZero"/>
        <c:auto val="1"/>
        <c:lblAlgn val="ctr"/>
        <c:lblOffset val="100"/>
        <c:tickLblSkip val="1"/>
        <c:tickMarkSkip val="1"/>
        <c:noMultiLvlLbl val="0"/>
      </c:catAx>
      <c:valAx>
        <c:axId val="61858560"/>
        <c:scaling>
          <c:orientation val="minMax"/>
        </c:scaling>
        <c:delete val="0"/>
        <c:axPos val="l"/>
        <c:majorGridlines>
          <c:spPr>
            <a:ln w="3175">
              <a:solidFill>
                <a:srgbClr val="B3B3B3"/>
              </a:solidFill>
              <a:prstDash val="solid"/>
            </a:ln>
          </c:spPr>
        </c:majorGridlines>
        <c:numFmt formatCode="General" sourceLinked="1"/>
        <c:majorTickMark val="out"/>
        <c:minorTickMark val="none"/>
        <c:tickLblPos val="low"/>
        <c:spPr>
          <a:ln w="3175">
            <a:solidFill>
              <a:srgbClr val="B3B3B3"/>
            </a:solidFill>
            <a:prstDash val="solid"/>
          </a:ln>
        </c:spPr>
        <c:txPr>
          <a:bodyPr rot="0" vert="horz"/>
          <a:lstStyle/>
          <a:p>
            <a:pPr>
              <a:defRPr sz="800" b="0" i="0" u="none" strike="noStrike" baseline="0">
                <a:solidFill>
                  <a:srgbClr val="1A1A1A"/>
                </a:solidFill>
                <a:latin typeface="Arial"/>
                <a:ea typeface="Arial"/>
                <a:cs typeface="Arial"/>
              </a:defRPr>
            </a:pPr>
            <a:endParaRPr lang="he-IL"/>
          </a:p>
        </c:txPr>
        <c:crossAx val="61852672"/>
        <c:crosses val="autoZero"/>
        <c:crossBetween val="between"/>
      </c:valAx>
      <c:spPr>
        <a:noFill/>
        <a:ln w="3175">
          <a:solidFill>
            <a:srgbClr val="B3B3B3"/>
          </a:solidFill>
          <a:prstDash val="solid"/>
        </a:ln>
      </c:spPr>
    </c:plotArea>
    <c:plotVisOnly val="0"/>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he-IL"/>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00" b="0" i="0" u="none" strike="noStrike" baseline="0">
                <a:solidFill>
                  <a:srgbClr val="1A1A1A"/>
                </a:solidFill>
                <a:latin typeface="Arial"/>
                <a:ea typeface="Arial"/>
                <a:cs typeface="Arial"/>
              </a:defRPr>
            </a:pPr>
            <a:r>
              <a:rPr lang="en-US"/>
              <a:t>Monthly Fixed Costs in NIS
for intensive users</a:t>
            </a:r>
          </a:p>
        </c:rich>
      </c:tx>
      <c:layout>
        <c:manualLayout>
          <c:xMode val="edge"/>
          <c:yMode val="edge"/>
          <c:x val="0.38200959109083538"/>
          <c:y val="2.6587887740029684E-2"/>
        </c:manualLayout>
      </c:layout>
      <c:overlay val="0"/>
      <c:spPr>
        <a:noFill/>
        <a:ln w="25400">
          <a:noFill/>
        </a:ln>
      </c:spPr>
    </c:title>
    <c:autoTitleDeleted val="0"/>
    <c:plotArea>
      <c:layout>
        <c:manualLayout>
          <c:layoutTarget val="inner"/>
          <c:xMode val="edge"/>
          <c:yMode val="edge"/>
          <c:x val="5.4906573375993334E-2"/>
          <c:y val="0.13884785819793313"/>
          <c:w val="0.92873884753010272"/>
          <c:h val="0.69867060561299865"/>
        </c:manualLayout>
      </c:layout>
      <c:barChart>
        <c:barDir val="col"/>
        <c:grouping val="clustered"/>
        <c:varyColors val="0"/>
        <c:ser>
          <c:idx val="1"/>
          <c:order val="1"/>
          <c:tx>
            <c:strRef>
              <c:f>Sheet1!$E$1</c:f>
            </c:strRef>
          </c:tx>
          <c:spPr>
            <a:solidFill>
              <a:srgbClr val="004586"/>
            </a:solidFill>
            <a:ln w="3175">
              <a:solidFill>
                <a:srgbClr val="000000"/>
              </a:solidFill>
              <a:prstDash val="solid"/>
            </a:ln>
          </c:spPr>
          <c:invertIfNegative val="0"/>
          <c:cat>
            <c:multiLvlStrRef>
              <c:f>'Monthly Graph'!$B$2:$B$13</c:f>
            </c:multiLvlStrRef>
          </c:cat>
          <c:val>
            <c:numRef>
              <c:f>'Monthly Graph'!$E$2:$E$13</c:f>
            </c:numRef>
          </c:val>
        </c:ser>
        <c:ser>
          <c:idx val="2"/>
          <c:order val="2"/>
          <c:tx>
            <c:strRef>
              <c:f>'[Carsharing tariffs.xls]Sheet1'!$E$1</c:f>
            </c:strRef>
          </c:tx>
          <c:spPr>
            <a:solidFill>
              <a:srgbClr val="004586"/>
            </a:solidFill>
            <a:ln w="3175">
              <a:solidFill>
                <a:srgbClr val="000000"/>
              </a:solidFill>
              <a:prstDash val="solid"/>
            </a:ln>
          </c:spPr>
          <c:invertIfNegative val="0"/>
          <c:cat>
            <c:multiLvlStrRef>
              <c:f>'[Carsharing tariffs.xls]Monthly Graph'!$B$2:$B$13</c:f>
            </c:multiLvlStrRef>
          </c:cat>
          <c:val>
            <c:numRef>
              <c:f>'[Carsharing tariffs.xls]Monthly Graph'!$E$2:$E$13</c:f>
            </c:numRef>
          </c:val>
        </c:ser>
        <c:ser>
          <c:idx val="0"/>
          <c:order val="0"/>
          <c:tx>
            <c:strRef>
              <c:f>'[Carsharing tariffs.xls]Sheet1'!$E$1</c:f>
              <c:strCache>
                <c:ptCount val="1"/>
                <c:pt idx="0">
                  <c:v>Monthly Fixed Cost</c:v>
                </c:pt>
              </c:strCache>
            </c:strRef>
          </c:tx>
          <c:spPr>
            <a:solidFill>
              <a:srgbClr val="004586"/>
            </a:solidFill>
            <a:ln w="3175">
              <a:solidFill>
                <a:srgbClr val="000000"/>
              </a:solidFill>
              <a:prstDash val="solid"/>
            </a:ln>
          </c:spPr>
          <c:invertIfNegative val="0"/>
          <c:dPt>
            <c:idx val="6"/>
            <c:invertIfNegative val="0"/>
            <c:bubble3D val="0"/>
            <c:spPr>
              <a:solidFill>
                <a:srgbClr val="FF420E"/>
              </a:solidFill>
              <a:ln w="3175">
                <a:solidFill>
                  <a:srgbClr val="000000"/>
                </a:solidFill>
                <a:prstDash val="solid"/>
              </a:ln>
            </c:spPr>
          </c:dPt>
          <c:dPt>
            <c:idx val="8"/>
            <c:invertIfNegative val="0"/>
            <c:bubble3D val="0"/>
            <c:spPr>
              <a:solidFill>
                <a:srgbClr val="FF420E"/>
              </a:solidFill>
              <a:ln w="3175">
                <a:solidFill>
                  <a:srgbClr val="000000"/>
                </a:solidFill>
                <a:prstDash val="solid"/>
              </a:ln>
            </c:spPr>
          </c:dPt>
          <c:dLbls>
            <c:dLbl>
              <c:idx val="9"/>
              <c:dLblPos val="ctr"/>
              <c:showLegendKey val="0"/>
              <c:showVal val="1"/>
              <c:showCatName val="0"/>
              <c:showSerName val="0"/>
              <c:showPercent val="0"/>
              <c:showBubbleSize val="0"/>
            </c:dLbl>
            <c:dLbl>
              <c:idx val="10"/>
              <c:dLblPos val="ctr"/>
              <c:showLegendKey val="0"/>
              <c:showVal val="1"/>
              <c:showCatName val="0"/>
              <c:showSerName val="0"/>
              <c:showPercent val="0"/>
              <c:showBubbleSize val="0"/>
            </c:dLbl>
            <c:spPr>
              <a:noFill/>
              <a:ln w="25400">
                <a:noFill/>
              </a:ln>
            </c:spPr>
            <c:txPr>
              <a:bodyPr/>
              <a:lstStyle/>
              <a:p>
                <a:pPr>
                  <a:defRPr sz="1000" b="0" i="0" u="none" strike="noStrike" baseline="0">
                    <a:solidFill>
                      <a:srgbClr val="1A1A1A"/>
                    </a:solidFill>
                    <a:latin typeface="Calibri"/>
                    <a:ea typeface="Calibri"/>
                    <a:cs typeface="Calibri"/>
                  </a:defRPr>
                </a:pPr>
                <a:endParaRPr lang="he-IL"/>
              </a:p>
            </c:txPr>
            <c:dLblPos val="outEnd"/>
            <c:showLegendKey val="0"/>
            <c:showVal val="1"/>
            <c:showCatName val="0"/>
            <c:showSerName val="0"/>
            <c:showPercent val="0"/>
            <c:showBubbleSize val="0"/>
            <c:showLeaderLines val="0"/>
          </c:dLbls>
          <c:cat>
            <c:strRef>
              <c:f>'[Carsharing tariffs.xls]Monthly Graph'!$B$2:$B$13</c:f>
              <c:strCache>
                <c:ptCount val="12"/>
                <c:pt idx="0">
                  <c:v>Berlin</c:v>
                </c:pt>
                <c:pt idx="1">
                  <c:v>Denver</c:v>
                </c:pt>
                <c:pt idx="2">
                  <c:v>Philadelphia</c:v>
                </c:pt>
                <c:pt idx="3">
                  <c:v>Paris</c:v>
                </c:pt>
                <c:pt idx="4">
                  <c:v>London</c:v>
                </c:pt>
                <c:pt idx="5">
                  <c:v>Switzerland</c:v>
                </c:pt>
                <c:pt idx="6">
                  <c:v>Tel Aviv – Value</c:v>
                </c:pt>
                <c:pt idx="7">
                  <c:v>Germany</c:v>
                </c:pt>
                <c:pt idx="8">
                  <c:v>Tel Aviv – Value +</c:v>
                </c:pt>
                <c:pt idx="9">
                  <c:v>Manhattan</c:v>
                </c:pt>
                <c:pt idx="10">
                  <c:v>Baltimore</c:v>
                </c:pt>
                <c:pt idx="11">
                  <c:v>Reference case</c:v>
                </c:pt>
              </c:strCache>
            </c:strRef>
          </c:cat>
          <c:val>
            <c:numRef>
              <c:f>'[Carsharing tariffs.xls]Monthly Graph'!$E$2:$E$13</c:f>
              <c:numCache>
                <c:formatCode>0.00</c:formatCode>
                <c:ptCount val="12"/>
                <c:pt idx="0">
                  <c:v>32</c:v>
                </c:pt>
                <c:pt idx="1">
                  <c:v>37.9</c:v>
                </c:pt>
                <c:pt idx="2">
                  <c:v>39.479166666666394</c:v>
                </c:pt>
                <c:pt idx="3">
                  <c:v>51.20000000000001</c:v>
                </c:pt>
                <c:pt idx="4">
                  <c:v>83.270833333333258</c:v>
                </c:pt>
                <c:pt idx="5">
                  <c:v>84.583333333333258</c:v>
                </c:pt>
                <c:pt idx="6">
                  <c:v>99</c:v>
                </c:pt>
                <c:pt idx="7">
                  <c:v>128</c:v>
                </c:pt>
                <c:pt idx="8">
                  <c:v>229</c:v>
                </c:pt>
                <c:pt idx="9">
                  <c:v>473.75</c:v>
                </c:pt>
                <c:pt idx="10">
                  <c:v>473.75</c:v>
                </c:pt>
                <c:pt idx="11">
                  <c:v>7.895833333333333</c:v>
                </c:pt>
              </c:numCache>
            </c:numRef>
          </c:val>
        </c:ser>
        <c:dLbls>
          <c:showLegendKey val="0"/>
          <c:showVal val="0"/>
          <c:showCatName val="0"/>
          <c:showSerName val="0"/>
          <c:showPercent val="0"/>
          <c:showBubbleSize val="0"/>
        </c:dLbls>
        <c:gapWidth val="100"/>
        <c:axId val="62999552"/>
        <c:axId val="63005440"/>
      </c:barChart>
      <c:catAx>
        <c:axId val="62999552"/>
        <c:scaling>
          <c:orientation val="minMax"/>
        </c:scaling>
        <c:delete val="0"/>
        <c:axPos val="b"/>
        <c:numFmt formatCode="General" sourceLinked="1"/>
        <c:majorTickMark val="out"/>
        <c:minorTickMark val="none"/>
        <c:tickLblPos val="low"/>
        <c:spPr>
          <a:ln w="3175">
            <a:solidFill>
              <a:srgbClr val="B3B3B3"/>
            </a:solidFill>
            <a:prstDash val="solid"/>
          </a:ln>
        </c:spPr>
        <c:txPr>
          <a:bodyPr rot="-3600000" vert="horz"/>
          <a:lstStyle/>
          <a:p>
            <a:pPr>
              <a:defRPr sz="800" b="0" i="0" u="none" strike="noStrike" baseline="0">
                <a:solidFill>
                  <a:srgbClr val="1A1A1A"/>
                </a:solidFill>
                <a:latin typeface="Arial"/>
                <a:ea typeface="Arial"/>
                <a:cs typeface="Arial"/>
              </a:defRPr>
            </a:pPr>
            <a:endParaRPr lang="he-IL"/>
          </a:p>
        </c:txPr>
        <c:crossAx val="63005440"/>
        <c:crosses val="autoZero"/>
        <c:auto val="1"/>
        <c:lblAlgn val="ctr"/>
        <c:lblOffset val="100"/>
        <c:tickLblSkip val="1"/>
        <c:tickMarkSkip val="1"/>
        <c:noMultiLvlLbl val="0"/>
      </c:catAx>
      <c:valAx>
        <c:axId val="63005440"/>
        <c:scaling>
          <c:orientation val="minMax"/>
          <c:max val="400"/>
          <c:min val="0"/>
        </c:scaling>
        <c:delete val="0"/>
        <c:axPos val="l"/>
        <c:majorGridlines>
          <c:spPr>
            <a:ln w="3175">
              <a:solidFill>
                <a:srgbClr val="B3B3B3"/>
              </a:solidFill>
              <a:prstDash val="solid"/>
            </a:ln>
          </c:spPr>
        </c:majorGridlines>
        <c:numFmt formatCode="0.00" sourceLinked="1"/>
        <c:majorTickMark val="out"/>
        <c:minorTickMark val="none"/>
        <c:tickLblPos val="low"/>
        <c:spPr>
          <a:ln w="3175">
            <a:solidFill>
              <a:srgbClr val="B3B3B3"/>
            </a:solidFill>
            <a:prstDash val="solid"/>
          </a:ln>
        </c:spPr>
        <c:txPr>
          <a:bodyPr rot="-3600000" vert="horz"/>
          <a:lstStyle/>
          <a:p>
            <a:pPr>
              <a:defRPr sz="800" b="0" i="0" u="none" strike="noStrike" baseline="0">
                <a:solidFill>
                  <a:srgbClr val="1A1A1A"/>
                </a:solidFill>
                <a:latin typeface="Arial"/>
                <a:ea typeface="Arial"/>
                <a:cs typeface="Arial"/>
              </a:defRPr>
            </a:pPr>
            <a:endParaRPr lang="he-IL"/>
          </a:p>
        </c:txPr>
        <c:crossAx val="62999552"/>
        <c:crosses val="autoZero"/>
        <c:crossBetween val="between"/>
      </c:valAx>
      <c:spPr>
        <a:noFill/>
        <a:ln w="3175">
          <a:solidFill>
            <a:srgbClr val="B3B3B3"/>
          </a:solidFill>
          <a:prstDash val="solid"/>
        </a:ln>
      </c:spPr>
    </c:plotArea>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he-IL"/>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l"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800" b="1" i="0" baseline="0"/>
              <a:t>Mean Ownership Cost Distribution</a:t>
            </a:r>
            <a:endParaRPr lang="he-IL"/>
          </a:p>
          <a:p>
            <a:pPr marL="0" marR="0" indent="0" algn="l"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100" b="1" i="0" baseline="0"/>
              <a:t>for Adjusted Base Case, in NIS</a:t>
            </a:r>
            <a:endParaRPr lang="he-IL" sz="1100"/>
          </a:p>
          <a:p>
            <a:pPr marL="0" marR="0" indent="0" algn="l"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sz="1800" b="1" i="0" baseline="0"/>
          </a:p>
          <a:p>
            <a:pPr marL="0" marR="0" indent="0" algn="l"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000" b="1" i="0" baseline="0"/>
              <a:t>16,585 km/year</a:t>
            </a:r>
            <a:endParaRPr lang="he-IL" sz="1000"/>
          </a:p>
          <a:p>
            <a:pPr marL="0" marR="0" indent="0" algn="l"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000" b="1" i="0" baseline="0"/>
              <a:t>Total Ownership costs: NIS 32,115</a:t>
            </a:r>
            <a:endParaRPr lang="he-IL" sz="1000"/>
          </a:p>
          <a:p>
            <a:pPr marL="0" marR="0" indent="0" algn="l"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a:p>
        </c:rich>
      </c:tx>
      <c:layout>
        <c:manualLayout>
          <c:xMode val="edge"/>
          <c:yMode val="edge"/>
          <c:x val="1.908530183727037E-2"/>
          <c:y val="3.5629556722076405E-2"/>
        </c:manualLayout>
      </c:layout>
      <c:overlay val="0"/>
    </c:title>
    <c:autoTitleDeleted val="0"/>
    <c:plotArea>
      <c:layout>
        <c:manualLayout>
          <c:layoutTarget val="inner"/>
          <c:xMode val="edge"/>
          <c:yMode val="edge"/>
          <c:x val="0.46954601157860631"/>
          <c:y val="0.25822208223972032"/>
          <c:w val="0.45044741500335717"/>
          <c:h val="0.67146694663167161"/>
        </c:manualLayout>
      </c:layout>
      <c:pieChart>
        <c:varyColors val="1"/>
        <c:ser>
          <c:idx val="1"/>
          <c:order val="0"/>
          <c:tx>
            <c:strRef>
              <c:f>'Simulation Output 13'!$D$11</c:f>
              <c:strCache>
                <c:ptCount val="1"/>
                <c:pt idx="0">
                  <c:v>Mean</c:v>
                </c:pt>
              </c:strCache>
            </c:strRef>
          </c:tx>
          <c:dLbls>
            <c:numFmt formatCode="#,##0" sourceLinked="0"/>
            <c:showLegendKey val="0"/>
            <c:showVal val="1"/>
            <c:showCatName val="0"/>
            <c:showSerName val="0"/>
            <c:showPercent val="0"/>
            <c:showBubbleSize val="0"/>
            <c:showLeaderLines val="1"/>
          </c:dLbls>
          <c:cat>
            <c:strRef>
              <c:f>('Simulation Output 13'!$A$12:$A$13,'Simulation Output 13'!$A$15:$A$16,'Simulation Output 13'!$A$23:$A$24)</c:f>
              <c:strCache>
                <c:ptCount val="6"/>
                <c:pt idx="0">
                  <c:v>Depreciation</c:v>
                </c:pt>
                <c:pt idx="1">
                  <c:v>Financing</c:v>
                </c:pt>
                <c:pt idx="2">
                  <c:v>Gas costs</c:v>
                </c:pt>
                <c:pt idx="3">
                  <c:v>Insurance</c:v>
                </c:pt>
                <c:pt idx="4">
                  <c:v>Registration</c:v>
                </c:pt>
                <c:pt idx="5">
                  <c:v>Repairs</c:v>
                </c:pt>
              </c:strCache>
            </c:strRef>
          </c:cat>
          <c:val>
            <c:numRef>
              <c:f>('Simulation Output 13'!$D$12:$D$13,'Simulation Output 13'!$D$15:$D$16,'Simulation Output 13'!$D$23:$D$24)</c:f>
              <c:numCache>
                <c:formatCode>0.000</c:formatCode>
                <c:ptCount val="6"/>
                <c:pt idx="0">
                  <c:v>10256.785989578526</c:v>
                </c:pt>
                <c:pt idx="1">
                  <c:v>709.60768850710554</c:v>
                </c:pt>
                <c:pt idx="2">
                  <c:v>10736.864607932988</c:v>
                </c:pt>
                <c:pt idx="3">
                  <c:v>4585.7780072498981</c:v>
                </c:pt>
                <c:pt idx="4">
                  <c:v>1410.7048913992237</c:v>
                </c:pt>
                <c:pt idx="5">
                  <c:v>4414.4563384962248</c:v>
                </c:pt>
              </c:numCache>
            </c:numRef>
          </c:val>
        </c:ser>
        <c:dLbls>
          <c:showLegendKey val="0"/>
          <c:showVal val="0"/>
          <c:showCatName val="0"/>
          <c:showSerName val="0"/>
          <c:showPercent val="0"/>
          <c:showBubbleSize val="0"/>
          <c:showLeaderLines val="1"/>
        </c:dLbls>
        <c:firstSliceAng val="360"/>
      </c:pieChart>
    </c:plotArea>
    <c:legend>
      <c:legendPos val="l"/>
      <c:layout>
        <c:manualLayout>
          <c:xMode val="edge"/>
          <c:yMode val="edge"/>
          <c:x val="1.6666666666666673E-2"/>
          <c:y val="0.49618146689997106"/>
          <c:w val="0.19254024496937888"/>
          <c:h val="0.41858595800524945"/>
        </c:manualLayout>
      </c:layout>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l"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800" b="1" i="0" baseline="0"/>
              <a:t>Mean Sharing Cost Distribution</a:t>
            </a:r>
            <a:endParaRPr lang="he-IL"/>
          </a:p>
          <a:p>
            <a:pPr marL="0" marR="0" indent="0" algn="l"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100" b="1" i="0" baseline="0"/>
              <a:t>for Adjusted Base Case, in NIS</a:t>
            </a:r>
            <a:endParaRPr lang="he-IL" sz="1100"/>
          </a:p>
          <a:p>
            <a:pPr marL="0" marR="0" indent="0" algn="l"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sz="1800" b="1" i="0" baseline="0"/>
          </a:p>
          <a:p>
            <a:pPr marL="0" marR="0" indent="0" algn="l"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000" b="1" i="0" baseline="0"/>
              <a:t>16'585 km/year</a:t>
            </a:r>
            <a:endParaRPr lang="he-IL" sz="1000"/>
          </a:p>
          <a:p>
            <a:pPr marL="0" marR="0" indent="0" algn="l"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000" b="1" i="0" baseline="0"/>
              <a:t>Total Sharing Costs: 42,653</a:t>
            </a:r>
            <a:endParaRPr lang="he-IL" sz="1000"/>
          </a:p>
          <a:p>
            <a:pPr marL="0" marR="0" indent="0" algn="l"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a:p>
        </c:rich>
      </c:tx>
      <c:layout>
        <c:manualLayout>
          <c:xMode val="edge"/>
          <c:yMode val="edge"/>
          <c:x val="1.908530183727037E-2"/>
          <c:y val="3.5629556722076405E-2"/>
        </c:manualLayout>
      </c:layout>
      <c:overlay val="0"/>
    </c:title>
    <c:autoTitleDeleted val="0"/>
    <c:plotArea>
      <c:layout>
        <c:manualLayout>
          <c:layoutTarget val="inner"/>
          <c:xMode val="edge"/>
          <c:yMode val="edge"/>
          <c:x val="0.46954601157860631"/>
          <c:y val="0.25822208223972032"/>
          <c:w val="0.45044741500335717"/>
          <c:h val="0.67146694663167161"/>
        </c:manualLayout>
      </c:layout>
      <c:pieChart>
        <c:varyColors val="1"/>
        <c:ser>
          <c:idx val="1"/>
          <c:order val="0"/>
          <c:tx>
            <c:strRef>
              <c:f>'Simulation Output 13'!$D$11</c:f>
              <c:strCache>
                <c:ptCount val="1"/>
                <c:pt idx="0">
                  <c:v>Mean</c:v>
                </c:pt>
              </c:strCache>
            </c:strRef>
          </c:tx>
          <c:dLbls>
            <c:numFmt formatCode="#,##0" sourceLinked="0"/>
            <c:showLegendKey val="0"/>
            <c:showVal val="1"/>
            <c:showCatName val="0"/>
            <c:showSerName val="0"/>
            <c:showPercent val="0"/>
            <c:showBubbleSize val="0"/>
            <c:showLeaderLines val="1"/>
          </c:dLbls>
          <c:cat>
            <c:strRef>
              <c:f>('Simulation Output 13'!$A$17:$A$18,'Simulation Output 13'!$A$25:$A$26,'Simulation Output 13'!$A$30)</c:f>
              <c:strCache>
                <c:ptCount val="5"/>
                <c:pt idx="0">
                  <c:v>Mileage Costs Weekends</c:v>
                </c:pt>
                <c:pt idx="1">
                  <c:v>Mileage Costs weekdays</c:v>
                </c:pt>
                <c:pt idx="2">
                  <c:v>Time costs weekdays</c:v>
                </c:pt>
                <c:pt idx="3">
                  <c:v>Time costs weekends</c:v>
                </c:pt>
                <c:pt idx="4">
                  <c:v>Monthly Fees</c:v>
                </c:pt>
              </c:strCache>
            </c:strRef>
          </c:cat>
          <c:val>
            <c:numRef>
              <c:f>('Simulation Output 13'!$D$17:$D$18,'Simulation Output 13'!$D$25:$D$26,'Simulation Output 13'!$D$30)</c:f>
              <c:numCache>
                <c:formatCode>0.000</c:formatCode>
                <c:ptCount val="5"/>
                <c:pt idx="0">
                  <c:v>4391.0550155575838</c:v>
                </c:pt>
                <c:pt idx="1">
                  <c:v>11365.10048754257</c:v>
                </c:pt>
                <c:pt idx="2">
                  <c:v>16119.539085</c:v>
                </c:pt>
                <c:pt idx="3">
                  <c:v>8032.9747679998864</c:v>
                </c:pt>
                <c:pt idx="4" formatCode="General">
                  <c:v>2748</c:v>
                </c:pt>
              </c:numCache>
            </c:numRef>
          </c:val>
        </c:ser>
        <c:dLbls>
          <c:showLegendKey val="0"/>
          <c:showVal val="0"/>
          <c:showCatName val="0"/>
          <c:showSerName val="0"/>
          <c:showPercent val="0"/>
          <c:showBubbleSize val="0"/>
          <c:showLeaderLines val="1"/>
        </c:dLbls>
        <c:firstSliceAng val="360"/>
      </c:pieChart>
    </c:plotArea>
    <c:legend>
      <c:legendPos val="l"/>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a:t>Saving</a:t>
            </a:r>
            <a:r>
              <a:rPr lang="en-US" baseline="0"/>
              <a:t> </a:t>
            </a:r>
            <a:r>
              <a:rPr lang="de-CH" baseline="0"/>
              <a:t>= </a:t>
            </a:r>
            <a:r>
              <a:rPr lang="en-US"/>
              <a:t>Ownership costs</a:t>
            </a:r>
            <a:r>
              <a:rPr lang="en-US" baseline="0"/>
              <a:t> minus</a:t>
            </a:r>
            <a:r>
              <a:rPr lang="en-US"/>
              <a:t> Sharing Costs</a:t>
            </a:r>
          </a:p>
        </c:rich>
      </c:tx>
      <c:overlay val="0"/>
    </c:title>
    <c:autoTitleDeleted val="0"/>
    <c:plotArea>
      <c:layout>
        <c:manualLayout>
          <c:layoutTarget val="inner"/>
          <c:xMode val="edge"/>
          <c:yMode val="edge"/>
          <c:x val="0.19437927910256769"/>
          <c:y val="0.14916148888466124"/>
          <c:w val="0.46764947086240582"/>
          <c:h val="0.71619801546331152"/>
        </c:manualLayout>
      </c:layout>
      <c:lineChart>
        <c:grouping val="standard"/>
        <c:varyColors val="0"/>
        <c:ser>
          <c:idx val="1"/>
          <c:order val="0"/>
          <c:tx>
            <c:strRef>
              <c:f>'Simulation Output 8'!$A$16</c:f>
              <c:strCache>
                <c:ptCount val="1"/>
                <c:pt idx="0">
                  <c:v>Difference: Ownership costs- Sharing Costs</c:v>
                </c:pt>
              </c:strCache>
            </c:strRef>
          </c:tx>
          <c:marker>
            <c:symbol val="none"/>
          </c:marker>
          <c:cat>
            <c:strRef>
              <c:f>'Simulation Output 8'!$G$11:$Y$11</c:f>
              <c:strCache>
                <c:ptCount val="19"/>
                <c:pt idx="0">
                  <c:v>5th
Percentile</c:v>
                </c:pt>
                <c:pt idx="1">
                  <c:v>10th
Percentile</c:v>
                </c:pt>
                <c:pt idx="2">
                  <c:v>15th
Percentile</c:v>
                </c:pt>
                <c:pt idx="3">
                  <c:v>20th
Percentile</c:v>
                </c:pt>
                <c:pt idx="4">
                  <c:v>25th
Percentile</c:v>
                </c:pt>
                <c:pt idx="5">
                  <c:v>30th
Percentile</c:v>
                </c:pt>
                <c:pt idx="6">
                  <c:v>35th
Percentile</c:v>
                </c:pt>
                <c:pt idx="7">
                  <c:v>40th
Percentile</c:v>
                </c:pt>
                <c:pt idx="8">
                  <c:v>45th
Percentile</c:v>
                </c:pt>
                <c:pt idx="9">
                  <c:v>50th
Percentile</c:v>
                </c:pt>
                <c:pt idx="10">
                  <c:v>55th
Percentile</c:v>
                </c:pt>
                <c:pt idx="11">
                  <c:v>60th
Percentile</c:v>
                </c:pt>
                <c:pt idx="12">
                  <c:v>65th
Percentile</c:v>
                </c:pt>
                <c:pt idx="13">
                  <c:v>70th
Percentile</c:v>
                </c:pt>
                <c:pt idx="14">
                  <c:v>75th
Percentile</c:v>
                </c:pt>
                <c:pt idx="15">
                  <c:v>80th
Percentile</c:v>
                </c:pt>
                <c:pt idx="16">
                  <c:v>85th
Percentile</c:v>
                </c:pt>
                <c:pt idx="17">
                  <c:v>90th
Percentile</c:v>
                </c:pt>
                <c:pt idx="18">
                  <c:v>95th
Percentile</c:v>
                </c:pt>
              </c:strCache>
            </c:strRef>
          </c:cat>
          <c:val>
            <c:numRef>
              <c:f>'Simulation Output 8'!$G$16:$Y$16</c:f>
              <c:numCache>
                <c:formatCode>0.000</c:formatCode>
                <c:ptCount val="19"/>
                <c:pt idx="0">
                  <c:v>-31259.247915563028</c:v>
                </c:pt>
                <c:pt idx="1">
                  <c:v>-27102.141019112663</c:v>
                </c:pt>
                <c:pt idx="2">
                  <c:v>-24118.820077972239</c:v>
                </c:pt>
                <c:pt idx="3">
                  <c:v>-21613.807861048143</c:v>
                </c:pt>
                <c:pt idx="4">
                  <c:v>-19506.855293087436</c:v>
                </c:pt>
                <c:pt idx="5">
                  <c:v>-17644.107399379016</c:v>
                </c:pt>
                <c:pt idx="6">
                  <c:v>-15898.921009115054</c:v>
                </c:pt>
                <c:pt idx="7">
                  <c:v>-14210.948993291015</c:v>
                </c:pt>
                <c:pt idx="8">
                  <c:v>-12507.552974579265</c:v>
                </c:pt>
                <c:pt idx="9">
                  <c:v>-10797.807297456999</c:v>
                </c:pt>
                <c:pt idx="10">
                  <c:v>-9017.3152635466413</c:v>
                </c:pt>
                <c:pt idx="11">
                  <c:v>-7187.2053273762285</c:v>
                </c:pt>
                <c:pt idx="12">
                  <c:v>-5315.0812589701736</c:v>
                </c:pt>
                <c:pt idx="13">
                  <c:v>-3338.6876054880681</c:v>
                </c:pt>
                <c:pt idx="14">
                  <c:v>-1209.2074271686611</c:v>
                </c:pt>
                <c:pt idx="15">
                  <c:v>1197.9802784835817</c:v>
                </c:pt>
                <c:pt idx="16">
                  <c:v>3919.3847644550697</c:v>
                </c:pt>
                <c:pt idx="17">
                  <c:v>7166.3907896707342</c:v>
                </c:pt>
                <c:pt idx="18">
                  <c:v>11696.44452066952</c:v>
                </c:pt>
              </c:numCache>
            </c:numRef>
          </c:val>
          <c:smooth val="0"/>
        </c:ser>
        <c:dLbls>
          <c:showLegendKey val="0"/>
          <c:showVal val="0"/>
          <c:showCatName val="0"/>
          <c:showSerName val="0"/>
          <c:showPercent val="0"/>
          <c:showBubbleSize val="0"/>
        </c:dLbls>
        <c:marker val="1"/>
        <c:smooth val="0"/>
        <c:axId val="63084800"/>
        <c:axId val="63098880"/>
      </c:lineChart>
      <c:catAx>
        <c:axId val="63084800"/>
        <c:scaling>
          <c:orientation val="minMax"/>
        </c:scaling>
        <c:delete val="0"/>
        <c:axPos val="b"/>
        <c:majorGridlines/>
        <c:majorTickMark val="out"/>
        <c:minorTickMark val="none"/>
        <c:tickLblPos val="low"/>
        <c:crossAx val="63098880"/>
        <c:crosses val="autoZero"/>
        <c:auto val="1"/>
        <c:lblAlgn val="ctr"/>
        <c:lblOffset val="100"/>
        <c:noMultiLvlLbl val="0"/>
      </c:catAx>
      <c:valAx>
        <c:axId val="63098880"/>
        <c:scaling>
          <c:orientation val="minMax"/>
        </c:scaling>
        <c:delete val="0"/>
        <c:axPos val="l"/>
        <c:majorGridlines/>
        <c:numFmt formatCode="#,##0" sourceLinked="0"/>
        <c:majorTickMark val="out"/>
        <c:minorTickMark val="none"/>
        <c:tickLblPos val="nextTo"/>
        <c:crossAx val="63084800"/>
        <c:crosses val="autoZero"/>
        <c:crossBetween val="between"/>
      </c:valAx>
    </c:plotArea>
    <c:legend>
      <c:legendPos val="l"/>
      <c:layout>
        <c:manualLayout>
          <c:xMode val="edge"/>
          <c:yMode val="edge"/>
          <c:x val="0.68327402135231319"/>
          <c:y val="0.28038448371211366"/>
          <c:w val="0.28843425710576232"/>
          <c:h val="0.10929644262911105"/>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C3C2D-1780-4C2C-841B-DB731B575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8119</Words>
  <Characters>40597</Characters>
  <Application>Microsoft Office Word</Application>
  <DocSecurity>0</DocSecurity>
  <Lines>338</Lines>
  <Paragraphs>97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48619</CharactersWithSpaces>
  <SharedDoc>false</SharedDoc>
  <HLinks>
    <vt:vector size="12" baseType="variant">
      <vt:variant>
        <vt:i4>99024981</vt:i4>
      </vt:variant>
      <vt:variant>
        <vt:i4>3</vt:i4>
      </vt:variant>
      <vt:variant>
        <vt:i4>0</vt:i4>
      </vt:variant>
      <vt:variant>
        <vt:i4>5</vt:i4>
      </vt:variant>
      <vt:variant>
        <vt:lpwstr>http://www.iplma.org.il/חדשות/חדשות/כלכלה-והשקעות/כמה-עולה-אחזקת-רכב-.aspx</vt:lpwstr>
      </vt:variant>
      <vt:variant>
        <vt:lpwstr/>
      </vt:variant>
      <vt:variant>
        <vt:i4>7864379</vt:i4>
      </vt:variant>
      <vt:variant>
        <vt:i4>0</vt:i4>
      </vt:variant>
      <vt:variant>
        <vt:i4>0</vt:i4>
      </vt:variant>
      <vt:variant>
        <vt:i4>5</vt:i4>
      </vt:variant>
      <vt:variant>
        <vt:lpwstr>http://www.bankisrael.gov.il/deptdata/monetar/interest/bointcre.htm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itamar</dc:creator>
  <cp:lastModifiedBy>itamar</cp:lastModifiedBy>
  <cp:revision>10</cp:revision>
  <cp:lastPrinted>2010-08-22T13:27:00Z</cp:lastPrinted>
  <dcterms:created xsi:type="dcterms:W3CDTF">2010-08-19T09:19:00Z</dcterms:created>
  <dcterms:modified xsi:type="dcterms:W3CDTF">2010-08-22T13:33:00Z</dcterms:modified>
</cp:coreProperties>
</file>